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A1" w:rsidRPr="00053FB3" w:rsidRDefault="004C1F2F" w:rsidP="00B93452">
      <w:pPr>
        <w:pStyle w:val="Heading1"/>
        <w:spacing w:line="276" w:lineRule="auto"/>
        <w:ind w:left="1440"/>
        <w:rPr>
          <w:b/>
          <w:bCs/>
          <w:szCs w:val="27"/>
        </w:rPr>
      </w:pPr>
      <w:bookmarkStart w:id="0" w:name="_GoBack"/>
      <w:bookmarkEnd w:id="0"/>
      <w:r>
        <w:rPr>
          <w:noProof/>
        </w:rPr>
        <w:drawing>
          <wp:anchor distT="0" distB="0" distL="114300" distR="114300" simplePos="0" relativeHeight="251658240" behindDoc="1" locked="0" layoutInCell="1" allowOverlap="1" wp14:anchorId="02401A61" wp14:editId="7040B169">
            <wp:simplePos x="0" y="0"/>
            <wp:positionH relativeFrom="column">
              <wp:posOffset>-56515</wp:posOffset>
            </wp:positionH>
            <wp:positionV relativeFrom="paragraph">
              <wp:posOffset>0</wp:posOffset>
            </wp:positionV>
            <wp:extent cx="2703195" cy="676275"/>
            <wp:effectExtent l="0" t="0" r="1905" b="9525"/>
            <wp:wrapTight wrapText="bothSides">
              <wp:wrapPolygon edited="0">
                <wp:start x="0" y="0"/>
                <wp:lineTo x="0" y="21296"/>
                <wp:lineTo x="21463" y="21296"/>
                <wp:lineTo x="21463" y="0"/>
                <wp:lineTo x="0" y="0"/>
              </wp:wrapPolygon>
            </wp:wrapTight>
            <wp:docPr id="3" name="Picture 3" descr="C:\Users\A018501\AppData\Local\Microsoft\Windows\Temporary Internet Files\Content.Outlook\JWWGB0RI\WVworkfroceLogo2015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018501\AppData\Local\Microsoft\Windows\Temporary Internet Files\Content.Outlook\JWWGB0RI\WVworkfroceLogo2015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19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2539">
        <w:t xml:space="preserve">         </w:t>
      </w:r>
      <w:r w:rsidR="00997C59">
        <w:rPr>
          <w:noProof/>
        </w:rPr>
        <w:t xml:space="preserve">                  </w:t>
      </w:r>
    </w:p>
    <w:p w:rsidR="00AC5630" w:rsidRDefault="00AC5630" w:rsidP="004C1F2F">
      <w:pPr>
        <w:spacing w:before="100" w:beforeAutospacing="1" w:after="100" w:afterAutospacing="1" w:line="276" w:lineRule="auto"/>
        <w:rPr>
          <w:b/>
          <w:i/>
          <w:sz w:val="16"/>
        </w:rPr>
      </w:pPr>
    </w:p>
    <w:p w:rsidR="00997C59" w:rsidRPr="004C1F2F" w:rsidRDefault="00AC5630" w:rsidP="004C1F2F">
      <w:pPr>
        <w:spacing w:before="100" w:beforeAutospacing="1" w:after="100" w:afterAutospacing="1" w:line="276" w:lineRule="auto"/>
      </w:pPr>
      <w:r>
        <w:rPr>
          <w:b/>
          <w:i/>
          <w:color w:val="820000"/>
          <w:sz w:val="16"/>
        </w:rPr>
        <w:t xml:space="preserve">                                </w:t>
      </w:r>
      <w:r w:rsidR="007D0135">
        <w:rPr>
          <w:b/>
          <w:i/>
          <w:color w:val="820000"/>
          <w:sz w:val="16"/>
        </w:rPr>
        <w:t xml:space="preserve"> </w:t>
      </w:r>
      <w:r w:rsidR="00B93452" w:rsidRPr="00B93452">
        <w:rPr>
          <w:b/>
          <w:i/>
          <w:color w:val="820000"/>
          <w:sz w:val="16"/>
        </w:rPr>
        <w:t xml:space="preserve">Region VII Workforce </w:t>
      </w:r>
      <w:r w:rsidR="00A01853">
        <w:rPr>
          <w:b/>
          <w:i/>
          <w:color w:val="820000"/>
          <w:sz w:val="16"/>
        </w:rPr>
        <w:t xml:space="preserve">Development </w:t>
      </w:r>
      <w:r w:rsidR="00B93452" w:rsidRPr="00B93452">
        <w:rPr>
          <w:b/>
          <w:i/>
          <w:color w:val="820000"/>
          <w:sz w:val="16"/>
        </w:rPr>
        <w:t>Board</w:t>
      </w:r>
    </w:p>
    <w:p w:rsidR="0008408B" w:rsidRDefault="0008408B" w:rsidP="0008408B">
      <w:pPr>
        <w:rPr>
          <w:sz w:val="24"/>
        </w:rPr>
      </w:pPr>
    </w:p>
    <w:p w:rsidR="00A51CE0" w:rsidRPr="0022229B" w:rsidRDefault="0022229B" w:rsidP="0022229B">
      <w:pPr>
        <w:jc w:val="center"/>
        <w:rPr>
          <w:b/>
          <w:sz w:val="28"/>
          <w:szCs w:val="28"/>
        </w:rPr>
      </w:pPr>
      <w:r w:rsidRPr="0022229B">
        <w:rPr>
          <w:b/>
          <w:sz w:val="28"/>
          <w:szCs w:val="28"/>
        </w:rPr>
        <w:t>Program Coordinators Report</w:t>
      </w:r>
    </w:p>
    <w:p w:rsidR="00246880" w:rsidRDefault="00246880" w:rsidP="0008408B">
      <w:pPr>
        <w:rPr>
          <w:sz w:val="24"/>
        </w:rPr>
      </w:pPr>
    </w:p>
    <w:p w:rsidR="00246880" w:rsidRPr="0022229B" w:rsidRDefault="00391554" w:rsidP="0008408B">
      <w:pPr>
        <w:rPr>
          <w:b/>
          <w:sz w:val="24"/>
        </w:rPr>
      </w:pPr>
      <w:r w:rsidRPr="0022229B">
        <w:rPr>
          <w:b/>
          <w:sz w:val="24"/>
        </w:rPr>
        <w:t>Labor Market Update</w:t>
      </w:r>
    </w:p>
    <w:p w:rsidR="00C37FC0" w:rsidRDefault="00C37FC0" w:rsidP="0008408B">
      <w:pPr>
        <w:rPr>
          <w:sz w:val="24"/>
        </w:rPr>
      </w:pPr>
    </w:p>
    <w:p w:rsidR="00391554" w:rsidRDefault="00391554" w:rsidP="0022229B">
      <w:pPr>
        <w:ind w:firstLine="720"/>
        <w:rPr>
          <w:sz w:val="24"/>
        </w:rPr>
      </w:pPr>
      <w:r>
        <w:rPr>
          <w:sz w:val="24"/>
        </w:rPr>
        <w:t xml:space="preserve">National and state unemployment rates remained relatively stable throughout the past several months, indicating continued labor market resilience. </w:t>
      </w:r>
      <w:r w:rsidR="00C37FC0">
        <w:rPr>
          <w:sz w:val="24"/>
        </w:rPr>
        <w:t xml:space="preserve">National unemployment remained at 4.3% in both March and April 2026, while West Virginia’s unemployment rate declined slightly from 4.7% in February to 4.5% in March 2026, reflecting modest employment growth and continued WorkForce demand. </w:t>
      </w:r>
    </w:p>
    <w:p w:rsidR="00391554" w:rsidRDefault="00391554" w:rsidP="0008408B">
      <w:pPr>
        <w:rPr>
          <w:sz w:val="24"/>
        </w:rPr>
      </w:pPr>
    </w:p>
    <w:p w:rsidR="00391554" w:rsidRPr="0022229B" w:rsidRDefault="00391554" w:rsidP="0008408B">
      <w:pPr>
        <w:rPr>
          <w:b/>
          <w:sz w:val="24"/>
        </w:rPr>
      </w:pPr>
      <w:r w:rsidRPr="0022229B">
        <w:rPr>
          <w:b/>
          <w:sz w:val="24"/>
        </w:rPr>
        <w:t>West Virginia Unemployment Rate</w:t>
      </w:r>
    </w:p>
    <w:p w:rsidR="00391554" w:rsidRDefault="00391554" w:rsidP="0008408B">
      <w:pPr>
        <w:rPr>
          <w:sz w:val="24"/>
        </w:rPr>
      </w:pPr>
    </w:p>
    <w:p w:rsidR="00C37FC0" w:rsidRDefault="00C37FC0" w:rsidP="0008408B">
      <w:pPr>
        <w:rPr>
          <w:sz w:val="24"/>
        </w:rPr>
      </w:pPr>
    </w:p>
    <w:p w:rsidR="00391554" w:rsidRDefault="00C37FC0" w:rsidP="0008408B">
      <w:pPr>
        <w:rPr>
          <w:sz w:val="24"/>
        </w:rPr>
      </w:pPr>
      <w:r>
        <w:rPr>
          <w:noProof/>
          <w:sz w:val="24"/>
        </w:rPr>
        <w:drawing>
          <wp:inline distT="0" distB="0" distL="0" distR="0">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37FC0" w:rsidRDefault="00C37FC0" w:rsidP="0008408B">
      <w:pPr>
        <w:rPr>
          <w:sz w:val="24"/>
        </w:rPr>
      </w:pPr>
    </w:p>
    <w:p w:rsidR="00C37FC0" w:rsidRDefault="00C37FC0" w:rsidP="0008408B">
      <w:pPr>
        <w:rPr>
          <w:sz w:val="24"/>
        </w:rPr>
      </w:pPr>
    </w:p>
    <w:p w:rsidR="00C37FC0" w:rsidRDefault="00C37FC0" w:rsidP="0008408B">
      <w:pPr>
        <w:rPr>
          <w:sz w:val="24"/>
        </w:rPr>
      </w:pPr>
    </w:p>
    <w:p w:rsidR="00C37FC0" w:rsidRDefault="00C37FC0" w:rsidP="0008408B">
      <w:pPr>
        <w:rPr>
          <w:sz w:val="24"/>
        </w:rPr>
      </w:pPr>
    </w:p>
    <w:p w:rsidR="00C37FC0" w:rsidRDefault="00C37FC0" w:rsidP="0008408B">
      <w:pPr>
        <w:rPr>
          <w:sz w:val="24"/>
        </w:rPr>
      </w:pPr>
    </w:p>
    <w:p w:rsidR="00C37FC0" w:rsidRDefault="00C37FC0" w:rsidP="0008408B">
      <w:pPr>
        <w:rPr>
          <w:sz w:val="24"/>
        </w:rPr>
      </w:pPr>
    </w:p>
    <w:p w:rsidR="00C37FC0" w:rsidRDefault="00C37FC0" w:rsidP="0008408B">
      <w:pPr>
        <w:rPr>
          <w:sz w:val="24"/>
        </w:rPr>
      </w:pPr>
    </w:p>
    <w:p w:rsidR="00C37FC0" w:rsidRDefault="00C37FC0" w:rsidP="0008408B">
      <w:pPr>
        <w:rPr>
          <w:sz w:val="24"/>
        </w:rPr>
      </w:pPr>
    </w:p>
    <w:p w:rsidR="00C37FC0" w:rsidRDefault="00C37FC0" w:rsidP="0008408B">
      <w:pPr>
        <w:rPr>
          <w:sz w:val="24"/>
        </w:rPr>
      </w:pPr>
    </w:p>
    <w:p w:rsidR="00792841" w:rsidRDefault="00792841" w:rsidP="00792841">
      <w:pPr>
        <w:ind w:firstLine="720"/>
        <w:rPr>
          <w:sz w:val="24"/>
        </w:rPr>
      </w:pPr>
    </w:p>
    <w:p w:rsidR="00792841" w:rsidRDefault="00792841" w:rsidP="00792841">
      <w:pPr>
        <w:ind w:firstLine="720"/>
        <w:rPr>
          <w:sz w:val="24"/>
        </w:rPr>
      </w:pPr>
    </w:p>
    <w:p w:rsidR="00792841" w:rsidRDefault="00792841" w:rsidP="00792841">
      <w:pPr>
        <w:ind w:firstLine="720"/>
        <w:rPr>
          <w:sz w:val="24"/>
        </w:rPr>
      </w:pPr>
    </w:p>
    <w:p w:rsidR="00C37FC0" w:rsidRDefault="00C37FC0" w:rsidP="00792841">
      <w:pPr>
        <w:ind w:firstLine="720"/>
        <w:rPr>
          <w:sz w:val="24"/>
        </w:rPr>
      </w:pPr>
      <w:r>
        <w:rPr>
          <w:sz w:val="24"/>
        </w:rPr>
        <w:t xml:space="preserve">Despite these </w:t>
      </w:r>
      <w:r w:rsidR="00792841">
        <w:rPr>
          <w:sz w:val="24"/>
        </w:rPr>
        <w:t>positive</w:t>
      </w:r>
      <w:r>
        <w:rPr>
          <w:sz w:val="24"/>
        </w:rPr>
        <w:t xml:space="preserve"> indicators, many working families continue to face financial strain due to rising living costs. Increased expenses related to fuel, utilities, </w:t>
      </w:r>
      <w:r w:rsidR="00792841">
        <w:rPr>
          <w:sz w:val="24"/>
        </w:rPr>
        <w:t xml:space="preserve">groceries, and transportation continue to impact household stability, even among those who have recently secured employment. Recent inflation reports showed continued increases in energy consumer cost, placing additional pressure on commuting workers and rural communities. </w:t>
      </w:r>
    </w:p>
    <w:p w:rsidR="0022229B" w:rsidRDefault="0022229B" w:rsidP="00792841">
      <w:pPr>
        <w:ind w:firstLine="720"/>
        <w:rPr>
          <w:sz w:val="24"/>
        </w:rPr>
      </w:pPr>
    </w:p>
    <w:p w:rsidR="0022229B" w:rsidRPr="0022229B" w:rsidRDefault="0022229B" w:rsidP="00792841">
      <w:pPr>
        <w:ind w:firstLine="720"/>
        <w:rPr>
          <w:b/>
          <w:sz w:val="24"/>
        </w:rPr>
      </w:pPr>
      <w:r w:rsidRPr="0022229B">
        <w:rPr>
          <w:b/>
          <w:sz w:val="24"/>
        </w:rPr>
        <w:t>Household Cost</w:t>
      </w:r>
      <w:r>
        <w:rPr>
          <w:b/>
          <w:sz w:val="24"/>
        </w:rPr>
        <w:t xml:space="preserve"> of Living</w:t>
      </w:r>
      <w:r w:rsidRPr="0022229B">
        <w:rPr>
          <w:b/>
          <w:sz w:val="24"/>
        </w:rPr>
        <w:t xml:space="preserve"> Increase</w:t>
      </w:r>
    </w:p>
    <w:p w:rsidR="00792841" w:rsidRDefault="00792841" w:rsidP="00792841">
      <w:pPr>
        <w:rPr>
          <w:sz w:val="24"/>
        </w:rPr>
      </w:pPr>
    </w:p>
    <w:p w:rsidR="00792841" w:rsidRDefault="0022229B" w:rsidP="00792841">
      <w:pPr>
        <w:rPr>
          <w:sz w:val="24"/>
        </w:rPr>
      </w:pPr>
      <w:r>
        <w:rPr>
          <w:noProof/>
          <w:sz w:val="24"/>
        </w:rPr>
        <w:drawing>
          <wp:inline distT="0" distB="0" distL="0" distR="0">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229B" w:rsidRDefault="0022229B" w:rsidP="00792841">
      <w:pPr>
        <w:rPr>
          <w:sz w:val="24"/>
        </w:rPr>
      </w:pPr>
    </w:p>
    <w:p w:rsidR="0022229B" w:rsidRDefault="0022229B" w:rsidP="00792841">
      <w:pPr>
        <w:rPr>
          <w:sz w:val="24"/>
        </w:rPr>
      </w:pPr>
    </w:p>
    <w:p w:rsidR="0022229B" w:rsidRDefault="0022229B" w:rsidP="00792841">
      <w:pPr>
        <w:rPr>
          <w:sz w:val="24"/>
        </w:rPr>
      </w:pPr>
    </w:p>
    <w:p w:rsidR="0022229B" w:rsidRDefault="0022229B" w:rsidP="0022229B">
      <w:pPr>
        <w:ind w:firstLine="720"/>
        <w:rPr>
          <w:sz w:val="24"/>
        </w:rPr>
      </w:pPr>
      <w:r>
        <w:rPr>
          <w:sz w:val="24"/>
        </w:rPr>
        <w:t xml:space="preserve">As Workforce needs continue evolving, emphasis remains on connecting individuals not only to employment opportunities, but to sustainable wages and long-term career pathways that support economic self-sufficiency. </w:t>
      </w:r>
    </w:p>
    <w:p w:rsidR="000E3FE0" w:rsidRDefault="000E3FE0" w:rsidP="0022229B">
      <w:pPr>
        <w:ind w:firstLine="720"/>
        <w:rPr>
          <w:sz w:val="24"/>
        </w:rPr>
      </w:pPr>
    </w:p>
    <w:p w:rsidR="000E3FE0" w:rsidRPr="00391554" w:rsidRDefault="000E3FE0" w:rsidP="0022229B">
      <w:pPr>
        <w:ind w:firstLine="720"/>
        <w:rPr>
          <w:sz w:val="24"/>
        </w:rPr>
      </w:pPr>
      <w:r>
        <w:rPr>
          <w:sz w:val="24"/>
        </w:rPr>
        <w:t>I would also like to take this time to speak on our current JACK numbers. So far this year we have reached over 9,684 individuals through the JACK referral system. Using this tool, clients were able to be referred to the partner agencies that were best suited to assist their needs. This puts our grand total of clients who have used the JACK system at 17,954.</w:t>
      </w:r>
    </w:p>
    <w:sectPr w:rsidR="000E3FE0" w:rsidRPr="00391554" w:rsidSect="006C0951">
      <w:footerReference w:type="default" r:id="rId10"/>
      <w:pgSz w:w="12240" w:h="15840"/>
      <w:pgMar w:top="720" w:right="1800" w:bottom="288"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19A" w:rsidRDefault="00D9619A">
      <w:r>
        <w:separator/>
      </w:r>
    </w:p>
  </w:endnote>
  <w:endnote w:type="continuationSeparator" w:id="0">
    <w:p w:rsidR="00D9619A" w:rsidRDefault="00D9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51" w:rsidRDefault="006C0951" w:rsidP="00D545CF">
    <w:pPr>
      <w:keepNext/>
      <w:ind w:left="360"/>
      <w:jc w:val="right"/>
      <w:outlineLvl w:val="1"/>
      <w:rPr>
        <w:b/>
        <w:i/>
        <w:sz w:val="16"/>
      </w:rPr>
    </w:pPr>
    <w:r>
      <w:rPr>
        <w:i/>
        <w:noProof/>
        <w:sz w:val="18"/>
      </w:rPr>
      <mc:AlternateContent>
        <mc:Choice Requires="wps">
          <w:drawing>
            <wp:anchor distT="0" distB="0" distL="114300" distR="114300" simplePos="0" relativeHeight="251657728" behindDoc="0" locked="0" layoutInCell="0" allowOverlap="1" wp14:anchorId="68ECCC78" wp14:editId="5F6D09B5">
              <wp:simplePos x="0" y="0"/>
              <wp:positionH relativeFrom="column">
                <wp:posOffset>72978</wp:posOffset>
              </wp:positionH>
              <wp:positionV relativeFrom="paragraph">
                <wp:posOffset>44079</wp:posOffset>
              </wp:positionV>
              <wp:extent cx="5503306" cy="0"/>
              <wp:effectExtent l="0" t="0" r="2159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3306" cy="0"/>
                      </a:xfrm>
                      <a:prstGeom prst="line">
                        <a:avLst/>
                      </a:prstGeom>
                      <a:ln w="12700">
                        <a:solidFill>
                          <a:srgbClr val="9E0000"/>
                        </a:solidFill>
                        <a:headEnd/>
                        <a:tailEnd/>
                      </a:ln>
                      <a:effectLst/>
                      <a:extLst/>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87E321"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45pt" to="439.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" o:allowincell="f" strokecolor="#9e0000" strokeweight="1pt"/>
          </w:pict>
        </mc:Fallback>
      </mc:AlternateContent>
    </w:r>
  </w:p>
  <w:p w:rsidR="00747E1C" w:rsidRDefault="00747E1C" w:rsidP="00D545CF">
    <w:pPr>
      <w:keepNext/>
      <w:ind w:left="360"/>
      <w:jc w:val="right"/>
      <w:outlineLvl w:val="1"/>
      <w:rPr>
        <w:b/>
        <w:i/>
        <w:sz w:val="16"/>
      </w:rPr>
    </w:pPr>
  </w:p>
  <w:p w:rsidR="006C0951" w:rsidRPr="006C0951" w:rsidRDefault="006C0951" w:rsidP="00D545CF">
    <w:pPr>
      <w:keepNext/>
      <w:ind w:left="360"/>
      <w:jc w:val="right"/>
      <w:outlineLvl w:val="1"/>
      <w:rPr>
        <w:b/>
        <w:i/>
        <w:sz w:val="16"/>
      </w:rPr>
    </w:pPr>
    <w:r>
      <w:rPr>
        <w:b/>
        <w:i/>
        <w:sz w:val="16"/>
      </w:rPr>
      <w:t xml:space="preserve">151 </w:t>
    </w:r>
    <w:r w:rsidRPr="006C0951">
      <w:rPr>
        <w:b/>
        <w:i/>
        <w:sz w:val="16"/>
      </w:rPr>
      <w:t>Robert C Byrd Industrial Park Road, Suite 2 ● Moorefield, WV  26836</w:t>
    </w:r>
  </w:p>
  <w:p w:rsidR="006C0951" w:rsidRPr="006C0951" w:rsidRDefault="00C02C8A" w:rsidP="00D545CF">
    <w:pPr>
      <w:ind w:left="360"/>
      <w:jc w:val="right"/>
      <w:rPr>
        <w:b/>
        <w:i/>
        <w:sz w:val="16"/>
      </w:rPr>
    </w:pPr>
    <w:r>
      <w:rPr>
        <w:b/>
        <w:i/>
        <w:sz w:val="16"/>
      </w:rPr>
      <w:t>Phone: (304) 530-3917</w:t>
    </w:r>
    <w:r w:rsidR="006C0951" w:rsidRPr="006C0951">
      <w:rPr>
        <w:b/>
        <w:i/>
        <w:sz w:val="16"/>
      </w:rPr>
      <w:t xml:space="preserve">● Fax: (304) 530-5107 ● TDD: </w:t>
    </w:r>
    <w:r w:rsidR="00DE620D">
      <w:rPr>
        <w:b/>
        <w:i/>
        <w:sz w:val="16"/>
      </w:rPr>
      <w:t>WV Relay 7-1-1</w:t>
    </w:r>
  </w:p>
  <w:p w:rsidR="006C0951" w:rsidRDefault="00AC5630" w:rsidP="00AC5630">
    <w:pPr>
      <w:ind w:left="360"/>
      <w:rPr>
        <w:b/>
        <w:i/>
        <w:color w:val="0000FF"/>
        <w:sz w:val="16"/>
        <w:u w:val="single"/>
      </w:rPr>
    </w:pPr>
    <w:r>
      <w:rPr>
        <w:b/>
        <w:bCs/>
        <w:i/>
        <w:noProof/>
        <w:sz w:val="16"/>
        <w:szCs w:val="16"/>
      </w:rPr>
      <w:drawing>
        <wp:anchor distT="0" distB="0" distL="114300" distR="114300" simplePos="0" relativeHeight="251658752" behindDoc="1" locked="0" layoutInCell="1" allowOverlap="1">
          <wp:simplePos x="0" y="0"/>
          <wp:positionH relativeFrom="column">
            <wp:posOffset>228600</wp:posOffset>
          </wp:positionH>
          <wp:positionV relativeFrom="paragraph">
            <wp:posOffset>-287835</wp:posOffset>
          </wp:positionV>
          <wp:extent cx="940279" cy="384884"/>
          <wp:effectExtent l="0" t="0" r="0" b="0"/>
          <wp:wrapNone/>
          <wp:docPr id="4" name="Picture 4" descr="C:\Users\slvance\Pictures\ajc_large_al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vance\Pictures\ajc_large_alt.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279" cy="38488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hyperlink r:id="rId2" w:history="1">
      <w:r w:rsidR="0008408B" w:rsidRPr="00776A92">
        <w:rPr>
          <w:rStyle w:val="Hyperlink"/>
          <w:b/>
          <w:i/>
          <w:sz w:val="16"/>
        </w:rPr>
        <w:t>www.wvregion7workforce.org</w:t>
      </w:r>
    </w:hyperlink>
  </w:p>
  <w:p w:rsidR="00387485" w:rsidRDefault="00387485" w:rsidP="00D545CF">
    <w:pPr>
      <w:ind w:left="360"/>
      <w:jc w:val="right"/>
      <w:rPr>
        <w:b/>
        <w:i/>
        <w:color w:val="0000FF"/>
        <w:sz w:val="16"/>
        <w:u w:val="single"/>
      </w:rPr>
    </w:pPr>
  </w:p>
  <w:p w:rsidR="00387485" w:rsidRDefault="00387485" w:rsidP="00387485">
    <w:pPr>
      <w:tabs>
        <w:tab w:val="left" w:pos="90"/>
        <w:tab w:val="left" w:pos="360"/>
        <w:tab w:val="left" w:pos="720"/>
      </w:tabs>
      <w:ind w:right="-360"/>
      <w:jc w:val="center"/>
      <w:rPr>
        <w:b/>
        <w:i/>
        <w:color w:val="0000FF"/>
        <w:sz w:val="16"/>
        <w:u w:val="single"/>
      </w:rPr>
    </w:pPr>
    <w:r>
      <w:rPr>
        <w:b/>
        <w:bCs/>
        <w:i/>
        <w:sz w:val="16"/>
        <w:szCs w:val="16"/>
      </w:rPr>
      <w:t>An Equal Opportunity Program/Employer.  Auxiliary aids and services are available upon request to individuals with disabilities.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19A" w:rsidRDefault="00D9619A">
      <w:r>
        <w:separator/>
      </w:r>
    </w:p>
  </w:footnote>
  <w:footnote w:type="continuationSeparator" w:id="0">
    <w:p w:rsidR="00D9619A" w:rsidRDefault="00D961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F53BC"/>
    <w:multiLevelType w:val="multilevel"/>
    <w:tmpl w:val="2994689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CD74C4"/>
    <w:multiLevelType w:val="hybridMultilevel"/>
    <w:tmpl w:val="3FEA4C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E27EB4"/>
    <w:multiLevelType w:val="hybridMultilevel"/>
    <w:tmpl w:val="1FC63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A63954"/>
    <w:multiLevelType w:val="multilevel"/>
    <w:tmpl w:val="FBF806B2"/>
    <w:lvl w:ilvl="0">
      <w:start w:val="304"/>
      <w:numFmt w:val="decimal"/>
      <w:lvlText w:val="%1"/>
      <w:lvlJc w:val="left"/>
      <w:pPr>
        <w:tabs>
          <w:tab w:val="num" w:pos="1440"/>
        </w:tabs>
        <w:ind w:left="1440" w:hanging="1440"/>
      </w:pPr>
      <w:rPr>
        <w:rFonts w:hint="default"/>
      </w:rPr>
    </w:lvl>
    <w:lvl w:ilvl="1">
      <w:start w:val="257"/>
      <w:numFmt w:val="decimal"/>
      <w:lvlText w:val="%1.%2"/>
      <w:lvlJc w:val="left"/>
      <w:pPr>
        <w:tabs>
          <w:tab w:val="num" w:pos="1440"/>
        </w:tabs>
        <w:ind w:left="1440" w:hanging="1440"/>
      </w:pPr>
      <w:rPr>
        <w:rFonts w:hint="default"/>
      </w:rPr>
    </w:lvl>
    <w:lvl w:ilvl="2">
      <w:start w:val="244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79843AC"/>
    <w:multiLevelType w:val="multilevel"/>
    <w:tmpl w:val="B792DA8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361B29"/>
    <w:multiLevelType w:val="hybridMultilevel"/>
    <w:tmpl w:val="2C6A53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8B37C8"/>
    <w:multiLevelType w:val="hybridMultilevel"/>
    <w:tmpl w:val="6D4211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39"/>
    <w:rsid w:val="000039FB"/>
    <w:rsid w:val="000360BA"/>
    <w:rsid w:val="00053FB3"/>
    <w:rsid w:val="0008408B"/>
    <w:rsid w:val="00090393"/>
    <w:rsid w:val="000E3FE0"/>
    <w:rsid w:val="00102865"/>
    <w:rsid w:val="0010395D"/>
    <w:rsid w:val="00111BFD"/>
    <w:rsid w:val="00113191"/>
    <w:rsid w:val="00174EB5"/>
    <w:rsid w:val="001D1EBD"/>
    <w:rsid w:val="001E1B50"/>
    <w:rsid w:val="001F0F1F"/>
    <w:rsid w:val="0022229B"/>
    <w:rsid w:val="00246880"/>
    <w:rsid w:val="00262EDE"/>
    <w:rsid w:val="00266CF7"/>
    <w:rsid w:val="00274DF4"/>
    <w:rsid w:val="00277721"/>
    <w:rsid w:val="002B5D66"/>
    <w:rsid w:val="002C5AE4"/>
    <w:rsid w:val="002D512B"/>
    <w:rsid w:val="00387485"/>
    <w:rsid w:val="00391554"/>
    <w:rsid w:val="003B2D89"/>
    <w:rsid w:val="003F4E76"/>
    <w:rsid w:val="003F5B39"/>
    <w:rsid w:val="004843E8"/>
    <w:rsid w:val="00487AD3"/>
    <w:rsid w:val="004C1F2F"/>
    <w:rsid w:val="004E54F8"/>
    <w:rsid w:val="004F20EE"/>
    <w:rsid w:val="00595E38"/>
    <w:rsid w:val="0062750C"/>
    <w:rsid w:val="006278B8"/>
    <w:rsid w:val="00631F48"/>
    <w:rsid w:val="006C0951"/>
    <w:rsid w:val="006C4DA9"/>
    <w:rsid w:val="00747E1C"/>
    <w:rsid w:val="007912BB"/>
    <w:rsid w:val="00792841"/>
    <w:rsid w:val="007A2573"/>
    <w:rsid w:val="007D0135"/>
    <w:rsid w:val="007F1466"/>
    <w:rsid w:val="007F6056"/>
    <w:rsid w:val="00810CDF"/>
    <w:rsid w:val="00812296"/>
    <w:rsid w:val="008C5D41"/>
    <w:rsid w:val="008E0522"/>
    <w:rsid w:val="008E1913"/>
    <w:rsid w:val="00916968"/>
    <w:rsid w:val="00917BD0"/>
    <w:rsid w:val="009514B5"/>
    <w:rsid w:val="00986607"/>
    <w:rsid w:val="00997C59"/>
    <w:rsid w:val="009A4BDF"/>
    <w:rsid w:val="009B0DBE"/>
    <w:rsid w:val="009D35B9"/>
    <w:rsid w:val="00A01853"/>
    <w:rsid w:val="00A140A1"/>
    <w:rsid w:val="00A51CE0"/>
    <w:rsid w:val="00A70B10"/>
    <w:rsid w:val="00A72CCA"/>
    <w:rsid w:val="00AB4EE0"/>
    <w:rsid w:val="00AC5026"/>
    <w:rsid w:val="00AC5630"/>
    <w:rsid w:val="00AE4C0D"/>
    <w:rsid w:val="00AE6200"/>
    <w:rsid w:val="00B05A4E"/>
    <w:rsid w:val="00B16074"/>
    <w:rsid w:val="00B35653"/>
    <w:rsid w:val="00B85030"/>
    <w:rsid w:val="00B86962"/>
    <w:rsid w:val="00B93452"/>
    <w:rsid w:val="00B97C99"/>
    <w:rsid w:val="00BE2F6C"/>
    <w:rsid w:val="00BF1A72"/>
    <w:rsid w:val="00C021EA"/>
    <w:rsid w:val="00C02C8A"/>
    <w:rsid w:val="00C11EA9"/>
    <w:rsid w:val="00C37FC0"/>
    <w:rsid w:val="00C66434"/>
    <w:rsid w:val="00CC579D"/>
    <w:rsid w:val="00CD3916"/>
    <w:rsid w:val="00D02539"/>
    <w:rsid w:val="00D050CC"/>
    <w:rsid w:val="00D545CF"/>
    <w:rsid w:val="00D87FAF"/>
    <w:rsid w:val="00D9619A"/>
    <w:rsid w:val="00DE620D"/>
    <w:rsid w:val="00DE6F9D"/>
    <w:rsid w:val="00DE7417"/>
    <w:rsid w:val="00E22DEB"/>
    <w:rsid w:val="00E51287"/>
    <w:rsid w:val="00EB7BDA"/>
    <w:rsid w:val="00EC335D"/>
    <w:rsid w:val="00ED1DA1"/>
    <w:rsid w:val="00ED6D32"/>
    <w:rsid w:val="00EF0FBF"/>
    <w:rsid w:val="00EF65C6"/>
    <w:rsid w:val="00F9678F"/>
    <w:rsid w:val="00FB02D5"/>
    <w:rsid w:val="00FC0F44"/>
    <w:rsid w:val="00FF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0ADD247-B456-4697-9A7D-8CE1E74F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HTMLPreformatted">
    <w:name w:val="HTML Preformatted"/>
    <w:basedOn w:val="Normal"/>
    <w:link w:val="HTMLPreformattedChar"/>
    <w:uiPriority w:val="99"/>
    <w:semiHidden/>
    <w:unhideWhenUsed/>
    <w:rsid w:val="00D02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D02539"/>
    <w:rPr>
      <w:rFonts w:ascii="Courier New" w:hAnsi="Courier New" w:cs="Courier New"/>
    </w:rPr>
  </w:style>
  <w:style w:type="paragraph" w:styleId="BalloonText">
    <w:name w:val="Balloon Text"/>
    <w:basedOn w:val="Normal"/>
    <w:link w:val="BalloonTextChar"/>
    <w:uiPriority w:val="99"/>
    <w:semiHidden/>
    <w:unhideWhenUsed/>
    <w:rsid w:val="00997C59"/>
    <w:rPr>
      <w:rFonts w:ascii="Tahoma" w:hAnsi="Tahoma" w:cs="Tahoma"/>
      <w:sz w:val="16"/>
      <w:szCs w:val="16"/>
    </w:rPr>
  </w:style>
  <w:style w:type="character" w:customStyle="1" w:styleId="BalloonTextChar">
    <w:name w:val="Balloon Text Char"/>
    <w:basedOn w:val="DefaultParagraphFont"/>
    <w:link w:val="BalloonText"/>
    <w:uiPriority w:val="99"/>
    <w:semiHidden/>
    <w:rsid w:val="00997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4275">
      <w:bodyDiv w:val="1"/>
      <w:marLeft w:val="0"/>
      <w:marRight w:val="0"/>
      <w:marTop w:val="0"/>
      <w:marBottom w:val="0"/>
      <w:divBdr>
        <w:top w:val="none" w:sz="0" w:space="0" w:color="auto"/>
        <w:left w:val="none" w:sz="0" w:space="0" w:color="auto"/>
        <w:bottom w:val="none" w:sz="0" w:space="0" w:color="auto"/>
        <w:right w:val="none" w:sz="0" w:space="0" w:color="auto"/>
      </w:divBdr>
    </w:div>
    <w:div w:id="750584109">
      <w:bodyDiv w:val="1"/>
      <w:marLeft w:val="0"/>
      <w:marRight w:val="0"/>
      <w:marTop w:val="0"/>
      <w:marBottom w:val="0"/>
      <w:divBdr>
        <w:top w:val="none" w:sz="0" w:space="0" w:color="auto"/>
        <w:left w:val="none" w:sz="0" w:space="0" w:color="auto"/>
        <w:bottom w:val="none" w:sz="0" w:space="0" w:color="auto"/>
        <w:right w:val="none" w:sz="0" w:space="0" w:color="auto"/>
      </w:divBdr>
    </w:div>
    <w:div w:id="1273628670">
      <w:bodyDiv w:val="1"/>
      <w:marLeft w:val="0"/>
      <w:marRight w:val="0"/>
      <w:marTop w:val="0"/>
      <w:marBottom w:val="0"/>
      <w:divBdr>
        <w:top w:val="none" w:sz="0" w:space="0" w:color="auto"/>
        <w:left w:val="none" w:sz="0" w:space="0" w:color="auto"/>
        <w:bottom w:val="none" w:sz="0" w:space="0" w:color="auto"/>
        <w:right w:val="none" w:sz="0" w:space="0" w:color="auto"/>
      </w:divBdr>
    </w:div>
    <w:div w:id="1853179924">
      <w:bodyDiv w:val="1"/>
      <w:marLeft w:val="0"/>
      <w:marRight w:val="0"/>
      <w:marTop w:val="0"/>
      <w:marBottom w:val="0"/>
      <w:divBdr>
        <w:top w:val="none" w:sz="0" w:space="0" w:color="auto"/>
        <w:left w:val="none" w:sz="0" w:space="0" w:color="auto"/>
        <w:bottom w:val="none" w:sz="0" w:space="0" w:color="auto"/>
        <w:right w:val="none" w:sz="0" w:space="0" w:color="auto"/>
      </w:divBdr>
    </w:div>
    <w:div w:id="213740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_rels/footer1.xml.rels><?xml version="1.0" encoding="UTF-8" standalone="yes"?>
<Relationships xmlns="http://schemas.openxmlformats.org/package/2006/relationships"><Relationship Id="rId2" Type="http://schemas.openxmlformats.org/officeDocument/2006/relationships/hyperlink" Target="http://www.wvregion7workforce.org" TargetMode="External"/><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Unemployment Rate Trends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U.S. Rate</c:v>
                </c:pt>
              </c:strCache>
            </c:strRef>
          </c:tx>
          <c:spPr>
            <a:solidFill>
              <a:schemeClr val="accent1"/>
            </a:solidFill>
            <a:ln>
              <a:noFill/>
            </a:ln>
            <a:effectLst/>
          </c:spPr>
          <c:invertIfNegative val="0"/>
          <c:cat>
            <c:numRef>
              <c:f>Sheet1!$A$2:$A$4</c:f>
              <c:numCache>
                <c:formatCode>d\-mmm</c:formatCode>
                <c:ptCount val="3"/>
                <c:pt idx="0">
                  <c:v>46048</c:v>
                </c:pt>
                <c:pt idx="1">
                  <c:v>46079</c:v>
                </c:pt>
                <c:pt idx="2">
                  <c:v>46107</c:v>
                </c:pt>
              </c:numCache>
            </c:numRef>
          </c:cat>
          <c:val>
            <c:numRef>
              <c:f>Sheet1!$B$2:$B$4</c:f>
              <c:numCache>
                <c:formatCode>General</c:formatCode>
                <c:ptCount val="3"/>
                <c:pt idx="0">
                  <c:v>4.3</c:v>
                </c:pt>
                <c:pt idx="1">
                  <c:v>4.3</c:v>
                </c:pt>
                <c:pt idx="2">
                  <c:v>4.3</c:v>
                </c:pt>
              </c:numCache>
            </c:numRef>
          </c:val>
          <c:extLst>
            <c:ext xmlns:c16="http://schemas.microsoft.com/office/drawing/2014/chart" uri="{C3380CC4-5D6E-409C-BE32-E72D297353CC}">
              <c16:uniqueId val="{00000000-E818-4325-B1CD-36B08DA26409}"/>
            </c:ext>
          </c:extLst>
        </c:ser>
        <c:ser>
          <c:idx val="1"/>
          <c:order val="1"/>
          <c:tx>
            <c:strRef>
              <c:f>Sheet1!$C$1</c:f>
              <c:strCache>
                <c:ptCount val="1"/>
                <c:pt idx="0">
                  <c:v>WV Rate</c:v>
                </c:pt>
              </c:strCache>
            </c:strRef>
          </c:tx>
          <c:spPr>
            <a:solidFill>
              <a:schemeClr val="accent2"/>
            </a:solidFill>
            <a:ln>
              <a:noFill/>
            </a:ln>
            <a:effectLst/>
          </c:spPr>
          <c:invertIfNegative val="0"/>
          <c:cat>
            <c:numRef>
              <c:f>Sheet1!$A$2:$A$4</c:f>
              <c:numCache>
                <c:formatCode>d\-mmm</c:formatCode>
                <c:ptCount val="3"/>
                <c:pt idx="0">
                  <c:v>46048</c:v>
                </c:pt>
                <c:pt idx="1">
                  <c:v>46079</c:v>
                </c:pt>
                <c:pt idx="2">
                  <c:v>46107</c:v>
                </c:pt>
              </c:numCache>
            </c:numRef>
          </c:cat>
          <c:val>
            <c:numRef>
              <c:f>Sheet1!$C$2:$C$4</c:f>
              <c:numCache>
                <c:formatCode>General</c:formatCode>
                <c:ptCount val="3"/>
                <c:pt idx="0">
                  <c:v>4.5999999999999996</c:v>
                </c:pt>
                <c:pt idx="1">
                  <c:v>4.7</c:v>
                </c:pt>
                <c:pt idx="2">
                  <c:v>4.5</c:v>
                </c:pt>
              </c:numCache>
            </c:numRef>
          </c:val>
          <c:extLst>
            <c:ext xmlns:c16="http://schemas.microsoft.com/office/drawing/2014/chart" uri="{C3380CC4-5D6E-409C-BE32-E72D297353CC}">
              <c16:uniqueId val="{00000001-E818-4325-B1CD-36B08DA26409}"/>
            </c:ext>
          </c:extLst>
        </c:ser>
        <c:dLbls>
          <c:showLegendKey val="0"/>
          <c:showVal val="0"/>
          <c:showCatName val="0"/>
          <c:showSerName val="0"/>
          <c:showPercent val="0"/>
          <c:showBubbleSize val="0"/>
        </c:dLbls>
        <c:gapWidth val="219"/>
        <c:overlap val="-27"/>
        <c:axId val="186548320"/>
        <c:axId val="186553312"/>
      </c:barChart>
      <c:dateAx>
        <c:axId val="186548320"/>
        <c:scaling>
          <c:orientation val="minMax"/>
        </c:scaling>
        <c:delete val="0"/>
        <c:axPos val="b"/>
        <c:numFmt formatCode="d\-m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553312"/>
        <c:crosses val="autoZero"/>
        <c:auto val="1"/>
        <c:lblOffset val="100"/>
        <c:baseTimeUnit val="months"/>
      </c:dateAx>
      <c:valAx>
        <c:axId val="18655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5483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Expenses</a:t>
            </a:r>
            <a:r>
              <a:rPr lang="en-US" baseline="0"/>
              <a:t> Year Over Year Increase</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2025</c:v>
                </c:pt>
              </c:strCache>
            </c:strRef>
          </c:tx>
          <c:spPr>
            <a:solidFill>
              <a:schemeClr val="accent1"/>
            </a:solidFill>
            <a:ln>
              <a:noFill/>
            </a:ln>
            <a:effectLst/>
          </c:spPr>
          <c:invertIfNegative val="0"/>
          <c:cat>
            <c:strRef>
              <c:f>Sheet1!$A$2:$A$4</c:f>
              <c:strCache>
                <c:ptCount val="3"/>
                <c:pt idx="0">
                  <c:v>Gasoline</c:v>
                </c:pt>
                <c:pt idx="1">
                  <c:v>Food</c:v>
                </c:pt>
                <c:pt idx="2">
                  <c:v>Utilities</c:v>
                </c:pt>
              </c:strCache>
            </c:strRef>
          </c:cat>
          <c:val>
            <c:numRef>
              <c:f>Sheet1!$B$2:$B$4</c:f>
              <c:numCache>
                <c:formatCode>0%</c:formatCode>
                <c:ptCount val="3"/>
                <c:pt idx="0">
                  <c:v>0.22</c:v>
                </c:pt>
                <c:pt idx="1">
                  <c:v>2.5000000000000001E-2</c:v>
                </c:pt>
                <c:pt idx="2" formatCode="0.00%">
                  <c:v>4.1000000000000002E-2</c:v>
                </c:pt>
              </c:numCache>
            </c:numRef>
          </c:val>
          <c:extLst>
            <c:ext xmlns:c16="http://schemas.microsoft.com/office/drawing/2014/chart" uri="{C3380CC4-5D6E-409C-BE32-E72D297353CC}">
              <c16:uniqueId val="{00000000-D4DC-4A86-A82D-EEDCC8C5E25D}"/>
            </c:ext>
          </c:extLst>
        </c:ser>
        <c:ser>
          <c:idx val="1"/>
          <c:order val="1"/>
          <c:tx>
            <c:strRef>
              <c:f>Sheet1!$C$1</c:f>
              <c:strCache>
                <c:ptCount val="1"/>
                <c:pt idx="0">
                  <c:v>2026</c:v>
                </c:pt>
              </c:strCache>
            </c:strRef>
          </c:tx>
          <c:spPr>
            <a:solidFill>
              <a:schemeClr val="accent2"/>
            </a:solidFill>
            <a:ln>
              <a:noFill/>
            </a:ln>
            <a:effectLst/>
          </c:spPr>
          <c:invertIfNegative val="0"/>
          <c:cat>
            <c:strRef>
              <c:f>Sheet1!$A$2:$A$4</c:f>
              <c:strCache>
                <c:ptCount val="3"/>
                <c:pt idx="0">
                  <c:v>Gasoline</c:v>
                </c:pt>
                <c:pt idx="1">
                  <c:v>Food</c:v>
                </c:pt>
                <c:pt idx="2">
                  <c:v>Utilities</c:v>
                </c:pt>
              </c:strCache>
            </c:strRef>
          </c:cat>
          <c:val>
            <c:numRef>
              <c:f>Sheet1!$C$2:$C$4</c:f>
              <c:numCache>
                <c:formatCode>0.00%</c:formatCode>
                <c:ptCount val="3"/>
                <c:pt idx="0" formatCode="0%">
                  <c:v>0.28000000000000003</c:v>
                </c:pt>
                <c:pt idx="1">
                  <c:v>3.7999999999999999E-2</c:v>
                </c:pt>
                <c:pt idx="2">
                  <c:v>5.3999999999999999E-2</c:v>
                </c:pt>
              </c:numCache>
            </c:numRef>
          </c:val>
          <c:extLst>
            <c:ext xmlns:c16="http://schemas.microsoft.com/office/drawing/2014/chart" uri="{C3380CC4-5D6E-409C-BE32-E72D297353CC}">
              <c16:uniqueId val="{00000001-D4DC-4A86-A82D-EEDCC8C5E25D}"/>
            </c:ext>
          </c:extLst>
        </c:ser>
        <c:dLbls>
          <c:showLegendKey val="0"/>
          <c:showVal val="0"/>
          <c:showCatName val="0"/>
          <c:showSerName val="0"/>
          <c:showPercent val="0"/>
          <c:showBubbleSize val="0"/>
        </c:dLbls>
        <c:gapWidth val="219"/>
        <c:overlap val="-27"/>
        <c:axId val="186926656"/>
        <c:axId val="186923744"/>
      </c:barChart>
      <c:catAx>
        <c:axId val="186926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923744"/>
        <c:crosses val="autoZero"/>
        <c:auto val="1"/>
        <c:lblAlgn val="ctr"/>
        <c:lblOffset val="100"/>
        <c:noMultiLvlLbl val="0"/>
      </c:catAx>
      <c:valAx>
        <c:axId val="186923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926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Region VII Workforce Investment Board</vt:lpstr>
    </vt:vector>
  </TitlesOfParts>
  <Company>PHSS</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VII Workforce Investment Board</dc:title>
  <dc:creator>Stacy Vance</dc:creator>
  <cp:lastModifiedBy>TJ</cp:lastModifiedBy>
  <cp:revision>2</cp:revision>
  <cp:lastPrinted>2020-03-02T15:49:00Z</cp:lastPrinted>
  <dcterms:created xsi:type="dcterms:W3CDTF">2026-06-03T13:18:00Z</dcterms:created>
  <dcterms:modified xsi:type="dcterms:W3CDTF">2026-06-03T13:18:00Z</dcterms:modified>
</cp:coreProperties>
</file>