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E3AEFD" w14:textId="77777777" w:rsidR="000D3DC7" w:rsidRPr="001E741F" w:rsidRDefault="000D3DC7" w:rsidP="005E4DD1">
      <w:pPr>
        <w:pStyle w:val="Title"/>
        <w:jc w:val="center"/>
        <w:rPr>
          <w:b/>
          <w:bCs/>
        </w:rPr>
      </w:pPr>
      <w:r w:rsidRPr="001E741F">
        <w:rPr>
          <w:b/>
          <w:bCs/>
        </w:rPr>
        <w:t xml:space="preserve">Region 7 WDB Youth </w:t>
      </w:r>
      <w:r w:rsidR="002A48C7" w:rsidRPr="001E741F">
        <w:rPr>
          <w:b/>
          <w:bCs/>
        </w:rPr>
        <w:t xml:space="preserve">Service </w:t>
      </w:r>
      <w:r w:rsidRPr="001E741F">
        <w:rPr>
          <w:b/>
          <w:bCs/>
        </w:rPr>
        <w:t>Report</w:t>
      </w:r>
    </w:p>
    <w:p w14:paraId="23BD1194" w14:textId="77777777" w:rsidR="000D3DC7" w:rsidRDefault="000D3DC7"/>
    <w:p w14:paraId="52AA50F9" w14:textId="77ABD1EC" w:rsidR="0089017E" w:rsidRDefault="007B55F5" w:rsidP="0025746A">
      <w:r>
        <w:rPr>
          <w:noProof/>
        </w:rPr>
        <w:drawing>
          <wp:inline distT="0" distB="0" distL="0" distR="0" wp14:anchorId="6DB7F9C6" wp14:editId="1AC82367">
            <wp:extent cx="4888523" cy="2853285"/>
            <wp:effectExtent l="0" t="0" r="7620" b="4445"/>
            <wp:docPr id="2" name="Chart 2">
              <a:extLst xmlns:a="http://schemas.openxmlformats.org/drawingml/2006/main">
                <a:ext uri="{FF2B5EF4-FFF2-40B4-BE49-F238E27FC236}">
                  <a16:creationId xmlns:a16="http://schemas.microsoft.com/office/drawing/2014/main" id="{5029C27F-8B05-4D58-B40D-BE6BBB83845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7B51CDB9" w14:textId="768451B1" w:rsidR="000D3DC7" w:rsidRPr="001E741F" w:rsidRDefault="00AD371C" w:rsidP="00A7273F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72</w:t>
      </w:r>
      <w:r w:rsidR="00A7273F" w:rsidRPr="001E741F">
        <w:rPr>
          <w:b/>
          <w:bCs/>
        </w:rPr>
        <w:t xml:space="preserve"> Active Youth</w:t>
      </w:r>
    </w:p>
    <w:p w14:paraId="6058597D" w14:textId="605E7033" w:rsidR="32E1EA58" w:rsidRPr="002A4EEA" w:rsidRDefault="00F76528" w:rsidP="32E1EA58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47</w:t>
      </w:r>
      <w:r w:rsidR="00A7273F" w:rsidRPr="32E1EA58">
        <w:rPr>
          <w:b/>
          <w:bCs/>
        </w:rPr>
        <w:t xml:space="preserve"> Follow Up</w:t>
      </w:r>
    </w:p>
    <w:p w14:paraId="30E2FF3E" w14:textId="7604A0B2" w:rsidR="000D3DC7" w:rsidRPr="006B5E87" w:rsidRDefault="002A48C7" w:rsidP="32E1EA58">
      <w:pPr>
        <w:rPr>
          <w:b/>
          <w:bCs/>
          <w:sz w:val="24"/>
          <w:szCs w:val="24"/>
          <w:u w:val="single"/>
        </w:rPr>
      </w:pPr>
      <w:r w:rsidRPr="32E1EA58">
        <w:rPr>
          <w:b/>
          <w:bCs/>
          <w:sz w:val="24"/>
          <w:szCs w:val="24"/>
          <w:u w:val="single"/>
        </w:rPr>
        <w:t>F</w:t>
      </w:r>
      <w:r w:rsidR="00177B3C" w:rsidRPr="32E1EA58">
        <w:rPr>
          <w:b/>
          <w:bCs/>
          <w:sz w:val="24"/>
          <w:szCs w:val="24"/>
          <w:u w:val="single"/>
        </w:rPr>
        <w:t xml:space="preserve">Y </w:t>
      </w:r>
      <w:r w:rsidR="00067E40" w:rsidRPr="32E1EA58">
        <w:rPr>
          <w:b/>
          <w:bCs/>
          <w:sz w:val="24"/>
          <w:szCs w:val="24"/>
          <w:u w:val="single"/>
        </w:rPr>
        <w:t xml:space="preserve">2025-2026 </w:t>
      </w:r>
      <w:r w:rsidRPr="32E1EA58">
        <w:rPr>
          <w:b/>
          <w:bCs/>
          <w:sz w:val="24"/>
          <w:szCs w:val="24"/>
          <w:u w:val="single"/>
        </w:rPr>
        <w:t>Youth Services</w:t>
      </w:r>
      <w:r w:rsidR="00A7273F" w:rsidRPr="32E1EA58">
        <w:rPr>
          <w:b/>
          <w:bCs/>
          <w:sz w:val="24"/>
          <w:szCs w:val="24"/>
          <w:u w:val="single"/>
        </w:rPr>
        <w:t xml:space="preserve"> Totals</w:t>
      </w:r>
    </w:p>
    <w:tbl>
      <w:tblPr>
        <w:tblStyle w:val="GridTable4-Accent51"/>
        <w:tblW w:w="9715" w:type="dxa"/>
        <w:tblLayout w:type="fixed"/>
        <w:tblLook w:val="0420" w:firstRow="1" w:lastRow="0" w:firstColumn="0" w:lastColumn="0" w:noHBand="0" w:noVBand="1"/>
      </w:tblPr>
      <w:tblGrid>
        <w:gridCol w:w="1435"/>
        <w:gridCol w:w="1170"/>
        <w:gridCol w:w="1350"/>
        <w:gridCol w:w="1170"/>
        <w:gridCol w:w="1440"/>
        <w:gridCol w:w="3150"/>
      </w:tblGrid>
      <w:tr w:rsidR="00802943" w14:paraId="671A09CA" w14:textId="377437C9" w:rsidTr="32E1EA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</w:trPr>
        <w:tc>
          <w:tcPr>
            <w:tcW w:w="1435" w:type="dxa"/>
          </w:tcPr>
          <w:p w14:paraId="0F66C9EA" w14:textId="77777777" w:rsidR="00136CFB" w:rsidRPr="006B5E87" w:rsidRDefault="00136CFB" w:rsidP="006B5E87">
            <w:pPr>
              <w:jc w:val="center"/>
            </w:pPr>
            <w:r w:rsidRPr="006B5E87">
              <w:t>Paid Work Experience</w:t>
            </w:r>
          </w:p>
        </w:tc>
        <w:tc>
          <w:tcPr>
            <w:tcW w:w="1170" w:type="dxa"/>
          </w:tcPr>
          <w:p w14:paraId="76B70F29" w14:textId="77777777" w:rsidR="00136CFB" w:rsidRPr="006B5E87" w:rsidRDefault="00136CFB" w:rsidP="006B5E87">
            <w:pPr>
              <w:jc w:val="center"/>
              <w:rPr>
                <w:b w:val="0"/>
                <w:bCs w:val="0"/>
              </w:rPr>
            </w:pPr>
          </w:p>
          <w:p w14:paraId="05B979F5" w14:textId="67CD959F" w:rsidR="00136CFB" w:rsidRPr="006B5E87" w:rsidRDefault="00136CFB" w:rsidP="006B5E87">
            <w:pPr>
              <w:jc w:val="center"/>
            </w:pPr>
            <w:r w:rsidRPr="006B5E87">
              <w:t>Stipends</w:t>
            </w:r>
          </w:p>
        </w:tc>
        <w:tc>
          <w:tcPr>
            <w:tcW w:w="1350" w:type="dxa"/>
          </w:tcPr>
          <w:p w14:paraId="0373CE2E" w14:textId="1181E360" w:rsidR="00136CFB" w:rsidRPr="006B5E87" w:rsidRDefault="00136CFB" w:rsidP="006B5E87">
            <w:pPr>
              <w:jc w:val="center"/>
            </w:pPr>
            <w:r w:rsidRPr="006B5E87">
              <w:t>Diploma or Certification</w:t>
            </w:r>
          </w:p>
        </w:tc>
        <w:tc>
          <w:tcPr>
            <w:tcW w:w="1170" w:type="dxa"/>
          </w:tcPr>
          <w:p w14:paraId="0CB96F64" w14:textId="187480EF" w:rsidR="00136CFB" w:rsidRPr="006B5E87" w:rsidRDefault="00136CFB" w:rsidP="006B5E87">
            <w:pPr>
              <w:jc w:val="center"/>
            </w:pPr>
            <w:r w:rsidRPr="006B5E87">
              <w:t>Active Adult Education</w:t>
            </w:r>
          </w:p>
        </w:tc>
        <w:tc>
          <w:tcPr>
            <w:tcW w:w="1440" w:type="dxa"/>
          </w:tcPr>
          <w:p w14:paraId="40F2F70A" w14:textId="7F4A9F2F" w:rsidR="00136CFB" w:rsidRPr="006B5E87" w:rsidRDefault="00136CFB" w:rsidP="006B5E87">
            <w:pPr>
              <w:jc w:val="center"/>
            </w:pPr>
            <w:r w:rsidRPr="006B5E87">
              <w:t>Active Attending High School</w:t>
            </w:r>
          </w:p>
        </w:tc>
        <w:tc>
          <w:tcPr>
            <w:tcW w:w="3150" w:type="dxa"/>
          </w:tcPr>
          <w:p w14:paraId="71D1BCD2" w14:textId="11669D0F" w:rsidR="006C131D" w:rsidRPr="006B5E87" w:rsidRDefault="00136CFB" w:rsidP="006B5E87">
            <w:pPr>
              <w:jc w:val="center"/>
              <w:rPr>
                <w:b w:val="0"/>
                <w:bCs w:val="0"/>
              </w:rPr>
            </w:pPr>
            <w:r w:rsidRPr="006B5E87">
              <w:t>Entered Employment</w:t>
            </w:r>
          </w:p>
          <w:p w14:paraId="008CE0AE" w14:textId="0922A6D3" w:rsidR="00136CFB" w:rsidRPr="006B5E87" w:rsidRDefault="006C131D" w:rsidP="006B5E87">
            <w:pPr>
              <w:jc w:val="center"/>
              <w:rPr>
                <w:b w:val="0"/>
                <w:bCs w:val="0"/>
              </w:rPr>
            </w:pPr>
            <w:r w:rsidRPr="006B5E87">
              <w:t>O</w:t>
            </w:r>
            <w:r w:rsidR="00136CFB" w:rsidRPr="006B5E87">
              <w:t>r</w:t>
            </w:r>
            <w:r w:rsidRPr="006B5E87">
              <w:rPr>
                <w:b w:val="0"/>
                <w:bCs w:val="0"/>
              </w:rPr>
              <w:t xml:space="preserve"> </w:t>
            </w:r>
            <w:r w:rsidR="00136CFB" w:rsidRPr="006B5E87">
              <w:t>Post-Secondary Schooling</w:t>
            </w:r>
          </w:p>
        </w:tc>
      </w:tr>
      <w:tr w:rsidR="006C131D" w14:paraId="1762C939" w14:textId="0049A8E7" w:rsidTr="32E1EA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9"/>
        </w:trPr>
        <w:tc>
          <w:tcPr>
            <w:tcW w:w="1435" w:type="dxa"/>
          </w:tcPr>
          <w:p w14:paraId="6CF665F1" w14:textId="1BBFEA56" w:rsidR="00136CFB" w:rsidRPr="006B5E87" w:rsidRDefault="00D41530" w:rsidP="000D3DC7">
            <w:pPr>
              <w:jc w:val="center"/>
            </w:pPr>
            <w:r>
              <w:t>8</w:t>
            </w:r>
          </w:p>
        </w:tc>
        <w:tc>
          <w:tcPr>
            <w:tcW w:w="1170" w:type="dxa"/>
          </w:tcPr>
          <w:p w14:paraId="062E1E93" w14:textId="191CE84B" w:rsidR="00136CFB" w:rsidRPr="006B5E87" w:rsidRDefault="00BF7486" w:rsidP="000D3DC7">
            <w:pPr>
              <w:jc w:val="center"/>
            </w:pPr>
            <w:r>
              <w:t>81</w:t>
            </w:r>
          </w:p>
        </w:tc>
        <w:tc>
          <w:tcPr>
            <w:tcW w:w="1350" w:type="dxa"/>
          </w:tcPr>
          <w:p w14:paraId="1721D631" w14:textId="14A968AF" w:rsidR="00136CFB" w:rsidRPr="006B5E87" w:rsidRDefault="004464D2" w:rsidP="000D3DC7">
            <w:pPr>
              <w:jc w:val="center"/>
            </w:pPr>
            <w:r>
              <w:t>5</w:t>
            </w:r>
          </w:p>
        </w:tc>
        <w:tc>
          <w:tcPr>
            <w:tcW w:w="1170" w:type="dxa"/>
          </w:tcPr>
          <w:p w14:paraId="0822CD40" w14:textId="1A40D8B7" w:rsidR="00136CFB" w:rsidRPr="006B5E87" w:rsidRDefault="00F03C29" w:rsidP="000D3DC7">
            <w:pPr>
              <w:jc w:val="center"/>
            </w:pPr>
            <w:r>
              <w:t>1</w:t>
            </w:r>
            <w:r w:rsidR="00AE266F">
              <w:t>3</w:t>
            </w:r>
          </w:p>
        </w:tc>
        <w:tc>
          <w:tcPr>
            <w:tcW w:w="1440" w:type="dxa"/>
          </w:tcPr>
          <w:p w14:paraId="3A28D39C" w14:textId="79C9591A" w:rsidR="00136CFB" w:rsidRPr="006B5E87" w:rsidRDefault="00D41530" w:rsidP="000D3DC7">
            <w:pPr>
              <w:jc w:val="center"/>
            </w:pPr>
            <w:r>
              <w:t>20</w:t>
            </w:r>
          </w:p>
        </w:tc>
        <w:tc>
          <w:tcPr>
            <w:tcW w:w="3150" w:type="dxa"/>
          </w:tcPr>
          <w:p w14:paraId="24E16037" w14:textId="6DF5678C" w:rsidR="00136CFB" w:rsidRPr="006B5E87" w:rsidRDefault="00BF323E" w:rsidP="000D3DC7">
            <w:pPr>
              <w:jc w:val="center"/>
            </w:pPr>
            <w:r>
              <w:t>9</w:t>
            </w:r>
          </w:p>
        </w:tc>
      </w:tr>
    </w:tbl>
    <w:p w14:paraId="702176A1" w14:textId="155E0C5E" w:rsidR="00655950" w:rsidRPr="00582960" w:rsidRDefault="00B64190" w:rsidP="002A4EEA">
      <w:pPr>
        <w:pStyle w:val="NormalWeb"/>
        <w:rPr>
          <w:rFonts w:ascii="Garamond" w:hAnsi="Garamond" w:cstheme="minorHAnsi"/>
          <w:color w:val="000000"/>
          <w:sz w:val="20"/>
          <w:szCs w:val="20"/>
        </w:rPr>
      </w:pPr>
      <w:r w:rsidRPr="00582960">
        <w:rPr>
          <w:rFonts w:ascii="Garamond" w:hAnsi="Garamond" w:cstheme="minorHAnsi"/>
          <w:color w:val="000000"/>
          <w:sz w:val="20"/>
          <w:szCs w:val="20"/>
        </w:rPr>
        <w:t>During</w:t>
      </w:r>
      <w:bookmarkStart w:id="0" w:name="_GoBack"/>
      <w:bookmarkEnd w:id="0"/>
      <w:r w:rsidR="00560A99" w:rsidRPr="00582960">
        <w:rPr>
          <w:rFonts w:ascii="Garamond" w:hAnsi="Garamond" w:cstheme="minorHAnsi"/>
          <w:color w:val="000000"/>
          <w:sz w:val="20"/>
          <w:szCs w:val="20"/>
        </w:rPr>
        <w:t xml:space="preserve"> this quarter</w:t>
      </w:r>
      <w:r w:rsidR="002A445B" w:rsidRPr="00582960">
        <w:rPr>
          <w:rFonts w:ascii="Garamond" w:hAnsi="Garamond" w:cstheme="minorHAnsi"/>
          <w:color w:val="000000"/>
          <w:sz w:val="20"/>
          <w:szCs w:val="20"/>
        </w:rPr>
        <w:t xml:space="preserve">, total </w:t>
      </w:r>
      <w:r w:rsidR="0019069D" w:rsidRPr="00582960">
        <w:rPr>
          <w:rFonts w:ascii="Garamond" w:hAnsi="Garamond" w:cstheme="minorHAnsi"/>
          <w:color w:val="000000"/>
          <w:sz w:val="20"/>
          <w:szCs w:val="20"/>
        </w:rPr>
        <w:t>active youth participation decreased from pr</w:t>
      </w:r>
      <w:r w:rsidR="00A661DF" w:rsidRPr="00582960">
        <w:rPr>
          <w:rFonts w:ascii="Garamond" w:hAnsi="Garamond" w:cstheme="minorHAnsi"/>
          <w:color w:val="000000"/>
          <w:sz w:val="20"/>
          <w:szCs w:val="20"/>
        </w:rPr>
        <w:t xml:space="preserve">ior quarters. This reduction </w:t>
      </w:r>
      <w:r w:rsidR="00DC5AEB" w:rsidRPr="00582960">
        <w:rPr>
          <w:rFonts w:ascii="Garamond" w:hAnsi="Garamond" w:cstheme="minorHAnsi"/>
          <w:color w:val="000000"/>
          <w:sz w:val="20"/>
          <w:szCs w:val="20"/>
        </w:rPr>
        <w:t>is</w:t>
      </w:r>
      <w:r w:rsidR="00A661DF" w:rsidRPr="00582960">
        <w:rPr>
          <w:rFonts w:ascii="Garamond" w:hAnsi="Garamond" w:cstheme="minorHAnsi"/>
          <w:color w:val="000000"/>
          <w:sz w:val="20"/>
          <w:szCs w:val="20"/>
        </w:rPr>
        <w:t xml:space="preserve"> intentional</w:t>
      </w:r>
      <w:r w:rsidR="00582960">
        <w:rPr>
          <w:rFonts w:ascii="Garamond" w:hAnsi="Garamond" w:cstheme="minorHAnsi"/>
          <w:color w:val="000000"/>
          <w:sz w:val="20"/>
          <w:szCs w:val="20"/>
        </w:rPr>
        <w:t xml:space="preserve">, </w:t>
      </w:r>
      <w:r w:rsidR="0066326A" w:rsidRPr="00582960">
        <w:rPr>
          <w:rFonts w:ascii="Garamond" w:hAnsi="Garamond" w:cstheme="minorHAnsi"/>
          <w:color w:val="000000"/>
          <w:sz w:val="20"/>
          <w:szCs w:val="20"/>
        </w:rPr>
        <w:t>reflecting a st</w:t>
      </w:r>
      <w:r w:rsidR="00517049" w:rsidRPr="00582960">
        <w:rPr>
          <w:rFonts w:ascii="Garamond" w:hAnsi="Garamond" w:cstheme="minorHAnsi"/>
          <w:color w:val="000000"/>
          <w:sz w:val="20"/>
          <w:szCs w:val="20"/>
        </w:rPr>
        <w:t xml:space="preserve">rategic </w:t>
      </w:r>
      <w:r w:rsidR="000A7DAE" w:rsidRPr="00582960">
        <w:rPr>
          <w:rFonts w:ascii="Garamond" w:hAnsi="Garamond" w:cstheme="minorHAnsi"/>
          <w:color w:val="000000"/>
          <w:sz w:val="20"/>
          <w:szCs w:val="20"/>
        </w:rPr>
        <w:t xml:space="preserve">effort to maintain </w:t>
      </w:r>
      <w:r w:rsidR="00DC4200" w:rsidRPr="00582960">
        <w:rPr>
          <w:rFonts w:ascii="Garamond" w:hAnsi="Garamond" w:cstheme="minorHAnsi"/>
          <w:color w:val="000000"/>
          <w:sz w:val="20"/>
          <w:szCs w:val="20"/>
        </w:rPr>
        <w:t xml:space="preserve">a manageable and effective caseload. </w:t>
      </w:r>
      <w:r w:rsidR="00826C6D" w:rsidRPr="00582960">
        <w:rPr>
          <w:rFonts w:ascii="Garamond" w:hAnsi="Garamond" w:cstheme="minorHAnsi"/>
          <w:color w:val="000000"/>
          <w:sz w:val="20"/>
          <w:szCs w:val="20"/>
        </w:rPr>
        <w:t>The goal of the program is to keep</w:t>
      </w:r>
      <w:r w:rsidR="00BA6C37" w:rsidRPr="00582960">
        <w:rPr>
          <w:rFonts w:ascii="Garamond" w:hAnsi="Garamond" w:cstheme="minorHAnsi"/>
          <w:color w:val="000000"/>
          <w:sz w:val="20"/>
          <w:szCs w:val="20"/>
        </w:rPr>
        <w:t xml:space="preserve"> no more than 100 </w:t>
      </w:r>
      <w:r w:rsidR="006B3179" w:rsidRPr="00582960">
        <w:rPr>
          <w:rFonts w:ascii="Garamond" w:hAnsi="Garamond" w:cstheme="minorHAnsi"/>
          <w:color w:val="000000"/>
          <w:sz w:val="20"/>
          <w:szCs w:val="20"/>
        </w:rPr>
        <w:t>active youth</w:t>
      </w:r>
      <w:r w:rsidR="00BB085B" w:rsidRPr="00582960">
        <w:rPr>
          <w:rFonts w:ascii="Garamond" w:hAnsi="Garamond" w:cstheme="minorHAnsi"/>
          <w:color w:val="000000"/>
          <w:sz w:val="20"/>
          <w:szCs w:val="20"/>
        </w:rPr>
        <w:t>. This ensures high-quality</w:t>
      </w:r>
      <w:r w:rsidR="00DC5AEB" w:rsidRPr="00582960">
        <w:rPr>
          <w:rFonts w:ascii="Garamond" w:hAnsi="Garamond" w:cstheme="minorHAnsi"/>
          <w:color w:val="000000"/>
          <w:sz w:val="20"/>
          <w:szCs w:val="20"/>
        </w:rPr>
        <w:t xml:space="preserve"> services, consistent engagement, and strong participation outcomes. </w:t>
      </w:r>
    </w:p>
    <w:p w14:paraId="4D9B737B" w14:textId="04A3CD8C" w:rsidR="005D4E1B" w:rsidRPr="00582960" w:rsidRDefault="00C13FA0" w:rsidP="002A4EEA">
      <w:pPr>
        <w:pStyle w:val="NormalWeb"/>
        <w:rPr>
          <w:rFonts w:ascii="Garamond" w:hAnsi="Garamond" w:cstheme="minorHAnsi"/>
          <w:color w:val="000000"/>
          <w:sz w:val="20"/>
          <w:szCs w:val="20"/>
        </w:rPr>
      </w:pPr>
      <w:r w:rsidRPr="00582960">
        <w:rPr>
          <w:rFonts w:ascii="Garamond" w:hAnsi="Garamond" w:cstheme="minorHAnsi"/>
          <w:color w:val="000000"/>
          <w:sz w:val="20"/>
          <w:szCs w:val="20"/>
        </w:rPr>
        <w:t>To support this approach, new enrollments wer</w:t>
      </w:r>
      <w:r w:rsidR="009B4C11" w:rsidRPr="00582960">
        <w:rPr>
          <w:rFonts w:ascii="Garamond" w:hAnsi="Garamond" w:cstheme="minorHAnsi"/>
          <w:color w:val="000000"/>
          <w:sz w:val="20"/>
          <w:szCs w:val="20"/>
        </w:rPr>
        <w:t xml:space="preserve">e temporarily limited while several of </w:t>
      </w:r>
      <w:r w:rsidR="00E362E8" w:rsidRPr="00582960">
        <w:rPr>
          <w:rFonts w:ascii="Garamond" w:hAnsi="Garamond" w:cstheme="minorHAnsi"/>
          <w:color w:val="000000"/>
          <w:sz w:val="20"/>
          <w:szCs w:val="20"/>
        </w:rPr>
        <w:t>our active part</w:t>
      </w:r>
      <w:r w:rsidR="00762227" w:rsidRPr="00582960">
        <w:rPr>
          <w:rFonts w:ascii="Garamond" w:hAnsi="Garamond" w:cstheme="minorHAnsi"/>
          <w:color w:val="000000"/>
          <w:sz w:val="20"/>
          <w:szCs w:val="20"/>
        </w:rPr>
        <w:t xml:space="preserve">icipants </w:t>
      </w:r>
      <w:r w:rsidR="00150E51" w:rsidRPr="00582960">
        <w:rPr>
          <w:rFonts w:ascii="Garamond" w:hAnsi="Garamond" w:cstheme="minorHAnsi"/>
          <w:color w:val="000000"/>
          <w:sz w:val="20"/>
          <w:szCs w:val="20"/>
        </w:rPr>
        <w:t>transitioned to follow-up</w:t>
      </w:r>
      <w:r w:rsidR="002022A9" w:rsidRPr="00582960">
        <w:rPr>
          <w:rFonts w:ascii="Garamond" w:hAnsi="Garamond" w:cstheme="minorHAnsi"/>
          <w:color w:val="000000"/>
          <w:sz w:val="20"/>
          <w:szCs w:val="20"/>
        </w:rPr>
        <w:t xml:space="preserve"> status. In addition</w:t>
      </w:r>
      <w:r w:rsidR="000A56B5" w:rsidRPr="00582960">
        <w:rPr>
          <w:rFonts w:ascii="Garamond" w:hAnsi="Garamond" w:cstheme="minorHAnsi"/>
          <w:color w:val="000000"/>
          <w:sz w:val="20"/>
          <w:szCs w:val="20"/>
        </w:rPr>
        <w:t xml:space="preserve">, follow-up services </w:t>
      </w:r>
      <w:r w:rsidR="006F4B23" w:rsidRPr="00582960">
        <w:rPr>
          <w:rFonts w:ascii="Garamond" w:hAnsi="Garamond" w:cstheme="minorHAnsi"/>
          <w:color w:val="000000"/>
          <w:sz w:val="20"/>
          <w:szCs w:val="20"/>
        </w:rPr>
        <w:t xml:space="preserve">were completed by youth who </w:t>
      </w:r>
      <w:r w:rsidR="001D6C65" w:rsidRPr="00582960">
        <w:rPr>
          <w:rFonts w:ascii="Garamond" w:hAnsi="Garamond" w:cstheme="minorHAnsi"/>
          <w:color w:val="000000"/>
          <w:sz w:val="20"/>
          <w:szCs w:val="20"/>
        </w:rPr>
        <w:t xml:space="preserve">met </w:t>
      </w:r>
      <w:r w:rsidR="00066A27" w:rsidRPr="00582960">
        <w:rPr>
          <w:rFonts w:ascii="Garamond" w:hAnsi="Garamond" w:cstheme="minorHAnsi"/>
          <w:color w:val="000000"/>
          <w:sz w:val="20"/>
          <w:szCs w:val="20"/>
        </w:rPr>
        <w:t>completion of</w:t>
      </w:r>
      <w:r w:rsidR="00582960">
        <w:rPr>
          <w:rFonts w:ascii="Garamond" w:hAnsi="Garamond" w:cstheme="minorHAnsi"/>
          <w:color w:val="000000"/>
          <w:sz w:val="20"/>
          <w:szCs w:val="20"/>
        </w:rPr>
        <w:t xml:space="preserve"> the</w:t>
      </w:r>
      <w:r w:rsidR="00066A27" w:rsidRPr="00582960">
        <w:rPr>
          <w:rFonts w:ascii="Garamond" w:hAnsi="Garamond" w:cstheme="minorHAnsi"/>
          <w:color w:val="000000"/>
          <w:sz w:val="20"/>
          <w:szCs w:val="20"/>
        </w:rPr>
        <w:t xml:space="preserve"> program requirements. </w:t>
      </w:r>
      <w:r w:rsidR="00280C9E" w:rsidRPr="00582960">
        <w:rPr>
          <w:rFonts w:ascii="Garamond" w:hAnsi="Garamond" w:cstheme="minorHAnsi"/>
          <w:color w:val="000000"/>
          <w:sz w:val="20"/>
          <w:szCs w:val="20"/>
        </w:rPr>
        <w:t>Resulting in a total of 72 active youth</w:t>
      </w:r>
      <w:r w:rsidR="00C73521" w:rsidRPr="00582960">
        <w:rPr>
          <w:rFonts w:ascii="Garamond" w:hAnsi="Garamond" w:cstheme="minorHAnsi"/>
          <w:color w:val="000000"/>
          <w:sz w:val="20"/>
          <w:szCs w:val="20"/>
        </w:rPr>
        <w:t xml:space="preserve"> and 47 </w:t>
      </w:r>
      <w:r w:rsidR="00A03E6B" w:rsidRPr="00582960">
        <w:rPr>
          <w:rFonts w:ascii="Garamond" w:hAnsi="Garamond" w:cstheme="minorHAnsi"/>
          <w:color w:val="000000"/>
          <w:sz w:val="20"/>
          <w:szCs w:val="20"/>
        </w:rPr>
        <w:t xml:space="preserve">youth follow-ups. </w:t>
      </w:r>
    </w:p>
    <w:p w14:paraId="1C146034" w14:textId="1D4DBE38" w:rsidR="004B28C3" w:rsidRPr="00582960" w:rsidRDefault="004B28C3" w:rsidP="002A4EEA">
      <w:pPr>
        <w:pStyle w:val="NormalWeb"/>
        <w:rPr>
          <w:rFonts w:ascii="Garamond" w:hAnsi="Garamond" w:cstheme="minorHAnsi"/>
          <w:color w:val="000000"/>
          <w:sz w:val="20"/>
          <w:szCs w:val="20"/>
        </w:rPr>
      </w:pPr>
      <w:r w:rsidRPr="00582960">
        <w:rPr>
          <w:rFonts w:ascii="Garamond" w:hAnsi="Garamond" w:cstheme="minorHAnsi"/>
          <w:color w:val="000000"/>
          <w:sz w:val="20"/>
          <w:szCs w:val="20"/>
        </w:rPr>
        <w:t>Youth engagement remains s</w:t>
      </w:r>
      <w:r w:rsidR="001C6BE0" w:rsidRPr="00582960">
        <w:rPr>
          <w:rFonts w:ascii="Garamond" w:hAnsi="Garamond" w:cstheme="minorHAnsi"/>
          <w:color w:val="000000"/>
          <w:sz w:val="20"/>
          <w:szCs w:val="20"/>
        </w:rPr>
        <w:t xml:space="preserve">trong across the region. </w:t>
      </w:r>
      <w:r w:rsidR="004B7B96" w:rsidRPr="00582960">
        <w:rPr>
          <w:rFonts w:ascii="Garamond" w:hAnsi="Garamond" w:cstheme="minorHAnsi"/>
          <w:color w:val="000000"/>
          <w:sz w:val="20"/>
          <w:szCs w:val="20"/>
        </w:rPr>
        <w:t>Paid Work Experience (PWE) activ</w:t>
      </w:r>
      <w:r w:rsidR="004A4063" w:rsidRPr="00582960">
        <w:rPr>
          <w:rFonts w:ascii="Garamond" w:hAnsi="Garamond" w:cstheme="minorHAnsi"/>
          <w:color w:val="000000"/>
          <w:sz w:val="20"/>
          <w:szCs w:val="20"/>
        </w:rPr>
        <w:t xml:space="preserve">ities are underway and continue to be successful. </w:t>
      </w:r>
      <w:r w:rsidR="00932122" w:rsidRPr="00582960">
        <w:rPr>
          <w:rFonts w:ascii="Garamond" w:hAnsi="Garamond" w:cstheme="minorHAnsi"/>
          <w:color w:val="000000"/>
          <w:sz w:val="20"/>
          <w:szCs w:val="20"/>
        </w:rPr>
        <w:t>Our youth are gaining hands</w:t>
      </w:r>
      <w:r w:rsidR="002A7D16" w:rsidRPr="00582960">
        <w:rPr>
          <w:rFonts w:ascii="Garamond" w:hAnsi="Garamond" w:cstheme="minorHAnsi"/>
          <w:color w:val="000000"/>
          <w:sz w:val="20"/>
          <w:szCs w:val="20"/>
        </w:rPr>
        <w:t xml:space="preserve">-on </w:t>
      </w:r>
      <w:r w:rsidR="00BB44AB" w:rsidRPr="00582960">
        <w:rPr>
          <w:rFonts w:ascii="Garamond" w:hAnsi="Garamond" w:cstheme="minorHAnsi"/>
          <w:color w:val="000000"/>
          <w:sz w:val="20"/>
          <w:szCs w:val="20"/>
        </w:rPr>
        <w:t xml:space="preserve">skills and </w:t>
      </w:r>
      <w:r w:rsidR="00145FC0" w:rsidRPr="00582960">
        <w:rPr>
          <w:rFonts w:ascii="Garamond" w:hAnsi="Garamond" w:cstheme="minorHAnsi"/>
          <w:color w:val="000000"/>
          <w:sz w:val="20"/>
          <w:szCs w:val="20"/>
        </w:rPr>
        <w:t xml:space="preserve">exposure to career pathways within their communities. </w:t>
      </w:r>
      <w:r w:rsidR="001E5793" w:rsidRPr="00582960">
        <w:rPr>
          <w:rFonts w:ascii="Garamond" w:hAnsi="Garamond" w:cstheme="minorHAnsi"/>
          <w:color w:val="000000"/>
          <w:sz w:val="20"/>
          <w:szCs w:val="20"/>
        </w:rPr>
        <w:t xml:space="preserve">Our program has also </w:t>
      </w:r>
      <w:r w:rsidR="00C456AB" w:rsidRPr="00582960">
        <w:rPr>
          <w:rFonts w:ascii="Garamond" w:hAnsi="Garamond" w:cstheme="minorHAnsi"/>
          <w:color w:val="000000"/>
          <w:sz w:val="20"/>
          <w:szCs w:val="20"/>
        </w:rPr>
        <w:t>established new partnerships with</w:t>
      </w:r>
      <w:r w:rsidR="00553331" w:rsidRPr="00582960">
        <w:rPr>
          <w:rFonts w:ascii="Garamond" w:hAnsi="Garamond" w:cstheme="minorHAnsi"/>
          <w:color w:val="000000"/>
          <w:sz w:val="20"/>
          <w:szCs w:val="20"/>
        </w:rPr>
        <w:t xml:space="preserve"> new employers in recent months</w:t>
      </w:r>
      <w:r w:rsidR="007667B4" w:rsidRPr="00582960">
        <w:rPr>
          <w:rFonts w:ascii="Garamond" w:hAnsi="Garamond" w:cstheme="minorHAnsi"/>
          <w:color w:val="000000"/>
          <w:sz w:val="20"/>
          <w:szCs w:val="20"/>
        </w:rPr>
        <w:t xml:space="preserve">, expanding </w:t>
      </w:r>
      <w:r w:rsidR="00CD72E8" w:rsidRPr="00582960">
        <w:rPr>
          <w:rFonts w:ascii="Garamond" w:hAnsi="Garamond" w:cstheme="minorHAnsi"/>
          <w:color w:val="000000"/>
          <w:sz w:val="20"/>
          <w:szCs w:val="20"/>
        </w:rPr>
        <w:t>placement opportunities</w:t>
      </w:r>
      <w:r w:rsidR="002D1355" w:rsidRPr="00582960">
        <w:rPr>
          <w:rFonts w:ascii="Garamond" w:hAnsi="Garamond" w:cstheme="minorHAnsi"/>
          <w:color w:val="000000"/>
          <w:sz w:val="20"/>
          <w:szCs w:val="20"/>
        </w:rPr>
        <w:t xml:space="preserve"> and </w:t>
      </w:r>
      <w:r w:rsidR="00B9479B" w:rsidRPr="00582960">
        <w:rPr>
          <w:rFonts w:ascii="Garamond" w:hAnsi="Garamond" w:cstheme="minorHAnsi"/>
          <w:color w:val="000000"/>
          <w:sz w:val="20"/>
          <w:szCs w:val="20"/>
        </w:rPr>
        <w:t xml:space="preserve">strengthening employer engagement. </w:t>
      </w:r>
      <w:r w:rsidR="00017537">
        <w:rPr>
          <w:rFonts w:ascii="Garamond" w:hAnsi="Garamond" w:cstheme="minorHAnsi"/>
          <w:color w:val="000000"/>
          <w:sz w:val="20"/>
          <w:szCs w:val="20"/>
        </w:rPr>
        <w:t xml:space="preserve">While other youth continue to </w:t>
      </w:r>
      <w:r w:rsidR="00CF58E9">
        <w:rPr>
          <w:rFonts w:ascii="Garamond" w:hAnsi="Garamond" w:cstheme="minorHAnsi"/>
          <w:color w:val="000000"/>
          <w:sz w:val="20"/>
          <w:szCs w:val="20"/>
        </w:rPr>
        <w:t xml:space="preserve">work hard in school to earn their diplomas. </w:t>
      </w:r>
    </w:p>
    <w:p w14:paraId="3CCF6727" w14:textId="7E60EBE9" w:rsidR="005A2F76" w:rsidRPr="00582960" w:rsidRDefault="00484B76" w:rsidP="002A4EEA">
      <w:pPr>
        <w:pStyle w:val="NormalWeb"/>
        <w:rPr>
          <w:rFonts w:ascii="Garamond" w:hAnsi="Garamond" w:cstheme="minorHAnsi"/>
          <w:color w:val="000000"/>
          <w:sz w:val="20"/>
          <w:szCs w:val="20"/>
        </w:rPr>
      </w:pPr>
      <w:r w:rsidRPr="00582960">
        <w:rPr>
          <w:rFonts w:ascii="Garamond" w:hAnsi="Garamond" w:cstheme="minorHAnsi"/>
          <w:color w:val="000000"/>
          <w:sz w:val="20"/>
          <w:szCs w:val="20"/>
        </w:rPr>
        <w:t xml:space="preserve">We are in the early stages of </w:t>
      </w:r>
      <w:r w:rsidR="004D2A72" w:rsidRPr="00582960">
        <w:rPr>
          <w:rFonts w:ascii="Garamond" w:hAnsi="Garamond" w:cstheme="minorHAnsi"/>
          <w:color w:val="000000"/>
          <w:sz w:val="20"/>
          <w:szCs w:val="20"/>
        </w:rPr>
        <w:t>developing</w:t>
      </w:r>
      <w:r w:rsidR="001D7B36" w:rsidRPr="00582960">
        <w:rPr>
          <w:rFonts w:ascii="Garamond" w:hAnsi="Garamond" w:cstheme="minorHAnsi"/>
          <w:color w:val="000000"/>
          <w:sz w:val="20"/>
          <w:szCs w:val="20"/>
        </w:rPr>
        <w:t xml:space="preserve"> a partnership with Jefferson County Development Authority to employ </w:t>
      </w:r>
      <w:r w:rsidR="006A0FAD" w:rsidRPr="00582960">
        <w:rPr>
          <w:rFonts w:ascii="Garamond" w:hAnsi="Garamond" w:cstheme="minorHAnsi"/>
          <w:color w:val="000000"/>
          <w:sz w:val="20"/>
          <w:szCs w:val="20"/>
        </w:rPr>
        <w:t>youth in</w:t>
      </w:r>
      <w:r w:rsidR="00FA2B81" w:rsidRPr="00582960">
        <w:rPr>
          <w:rFonts w:ascii="Garamond" w:hAnsi="Garamond" w:cstheme="minorHAnsi"/>
          <w:color w:val="000000"/>
          <w:sz w:val="20"/>
          <w:szCs w:val="20"/>
        </w:rPr>
        <w:t xml:space="preserve"> the operation and possible management of a concessions station </w:t>
      </w:r>
      <w:r w:rsidR="00F35421" w:rsidRPr="00582960">
        <w:rPr>
          <w:rFonts w:ascii="Garamond" w:hAnsi="Garamond" w:cstheme="minorHAnsi"/>
          <w:color w:val="000000"/>
          <w:sz w:val="20"/>
          <w:szCs w:val="20"/>
        </w:rPr>
        <w:t xml:space="preserve">with Jefferson County’s new government facility. </w:t>
      </w:r>
    </w:p>
    <w:p w14:paraId="4A0F7466" w14:textId="704466E9" w:rsidR="000A12A9" w:rsidRPr="00582960" w:rsidRDefault="000A12A9" w:rsidP="002A4EEA">
      <w:pPr>
        <w:pStyle w:val="NormalWeb"/>
        <w:rPr>
          <w:rFonts w:ascii="Garamond" w:hAnsi="Garamond" w:cstheme="minorHAnsi"/>
          <w:color w:val="000000"/>
          <w:sz w:val="20"/>
          <w:szCs w:val="20"/>
        </w:rPr>
      </w:pPr>
      <w:r w:rsidRPr="00582960">
        <w:rPr>
          <w:rFonts w:ascii="Garamond" w:hAnsi="Garamond" w:cstheme="minorHAnsi"/>
          <w:color w:val="000000"/>
          <w:sz w:val="20"/>
          <w:szCs w:val="20"/>
        </w:rPr>
        <w:t xml:space="preserve">Looking ahead, targeted outreach and recruitment </w:t>
      </w:r>
      <w:r w:rsidR="00C130CB" w:rsidRPr="00582960">
        <w:rPr>
          <w:rFonts w:ascii="Garamond" w:hAnsi="Garamond" w:cstheme="minorHAnsi"/>
          <w:color w:val="000000"/>
          <w:sz w:val="20"/>
          <w:szCs w:val="20"/>
        </w:rPr>
        <w:t>are</w:t>
      </w:r>
      <w:r w:rsidRPr="00582960">
        <w:rPr>
          <w:rFonts w:ascii="Garamond" w:hAnsi="Garamond" w:cstheme="minorHAnsi"/>
          <w:color w:val="000000"/>
          <w:sz w:val="20"/>
          <w:szCs w:val="20"/>
        </w:rPr>
        <w:t xml:space="preserve"> underway. The program </w:t>
      </w:r>
      <w:r w:rsidR="003B4296" w:rsidRPr="00582960">
        <w:rPr>
          <w:rFonts w:ascii="Garamond" w:hAnsi="Garamond" w:cstheme="minorHAnsi"/>
          <w:color w:val="000000"/>
          <w:sz w:val="20"/>
          <w:szCs w:val="20"/>
        </w:rPr>
        <w:t>continues to work closely with the Adult Learning Centers and area schools to identify and register eligible new youth</w:t>
      </w:r>
      <w:r w:rsidR="00D10FE4" w:rsidRPr="00582960">
        <w:rPr>
          <w:rFonts w:ascii="Garamond" w:hAnsi="Garamond" w:cstheme="minorHAnsi"/>
          <w:color w:val="000000"/>
          <w:sz w:val="20"/>
          <w:szCs w:val="20"/>
        </w:rPr>
        <w:t xml:space="preserve">. </w:t>
      </w:r>
    </w:p>
    <w:sectPr w:rsidR="000A12A9" w:rsidRPr="005829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AA702F"/>
    <w:multiLevelType w:val="hybridMultilevel"/>
    <w:tmpl w:val="186C2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DC7"/>
    <w:rsid w:val="00004B64"/>
    <w:rsid w:val="000156C3"/>
    <w:rsid w:val="00017537"/>
    <w:rsid w:val="000541FC"/>
    <w:rsid w:val="0006278C"/>
    <w:rsid w:val="00066A27"/>
    <w:rsid w:val="00067E40"/>
    <w:rsid w:val="000765AF"/>
    <w:rsid w:val="000768DA"/>
    <w:rsid w:val="000A12A9"/>
    <w:rsid w:val="000A56B5"/>
    <w:rsid w:val="000A64E9"/>
    <w:rsid w:val="000A7DAE"/>
    <w:rsid w:val="000B2CAB"/>
    <w:rsid w:val="000C11BC"/>
    <w:rsid w:val="000C6C4B"/>
    <w:rsid w:val="000C73DE"/>
    <w:rsid w:val="000D294C"/>
    <w:rsid w:val="000D3DC7"/>
    <w:rsid w:val="000D6EE6"/>
    <w:rsid w:val="000E112A"/>
    <w:rsid w:val="000E3529"/>
    <w:rsid w:val="000E4535"/>
    <w:rsid w:val="00115E70"/>
    <w:rsid w:val="00124948"/>
    <w:rsid w:val="001313E6"/>
    <w:rsid w:val="00135894"/>
    <w:rsid w:val="00136CFB"/>
    <w:rsid w:val="001456A5"/>
    <w:rsid w:val="00145FC0"/>
    <w:rsid w:val="00146347"/>
    <w:rsid w:val="00147BF5"/>
    <w:rsid w:val="00150E51"/>
    <w:rsid w:val="001731C2"/>
    <w:rsid w:val="00176773"/>
    <w:rsid w:val="00177B3C"/>
    <w:rsid w:val="00181129"/>
    <w:rsid w:val="0019069D"/>
    <w:rsid w:val="001B44A0"/>
    <w:rsid w:val="001C61C0"/>
    <w:rsid w:val="001C6BE0"/>
    <w:rsid w:val="001D120F"/>
    <w:rsid w:val="001D6C65"/>
    <w:rsid w:val="001D7B36"/>
    <w:rsid w:val="001E3D30"/>
    <w:rsid w:val="001E5793"/>
    <w:rsid w:val="001E6509"/>
    <w:rsid w:val="001E741F"/>
    <w:rsid w:val="001F23DC"/>
    <w:rsid w:val="001F6845"/>
    <w:rsid w:val="002022A9"/>
    <w:rsid w:val="0020301D"/>
    <w:rsid w:val="0020649B"/>
    <w:rsid w:val="00211593"/>
    <w:rsid w:val="00221ED9"/>
    <w:rsid w:val="00230C02"/>
    <w:rsid w:val="0023472F"/>
    <w:rsid w:val="002463C8"/>
    <w:rsid w:val="0025220B"/>
    <w:rsid w:val="00256963"/>
    <w:rsid w:val="0025746A"/>
    <w:rsid w:val="00257C4F"/>
    <w:rsid w:val="00261465"/>
    <w:rsid w:val="00261C54"/>
    <w:rsid w:val="00264816"/>
    <w:rsid w:val="0027130E"/>
    <w:rsid w:val="0027268C"/>
    <w:rsid w:val="002730B5"/>
    <w:rsid w:val="00276833"/>
    <w:rsid w:val="00280C9E"/>
    <w:rsid w:val="00295172"/>
    <w:rsid w:val="002964F6"/>
    <w:rsid w:val="002A36E4"/>
    <w:rsid w:val="002A445B"/>
    <w:rsid w:val="002A48C7"/>
    <w:rsid w:val="002A4EEA"/>
    <w:rsid w:val="002A71D4"/>
    <w:rsid w:val="002A7D16"/>
    <w:rsid w:val="002D1355"/>
    <w:rsid w:val="002D23DB"/>
    <w:rsid w:val="002D252D"/>
    <w:rsid w:val="002D3F93"/>
    <w:rsid w:val="002E5F39"/>
    <w:rsid w:val="002F6750"/>
    <w:rsid w:val="00300EE0"/>
    <w:rsid w:val="00307A45"/>
    <w:rsid w:val="00317BCB"/>
    <w:rsid w:val="00322819"/>
    <w:rsid w:val="00335A7D"/>
    <w:rsid w:val="00340B44"/>
    <w:rsid w:val="00353881"/>
    <w:rsid w:val="00371775"/>
    <w:rsid w:val="00375A59"/>
    <w:rsid w:val="003800D8"/>
    <w:rsid w:val="003912C0"/>
    <w:rsid w:val="003B0246"/>
    <w:rsid w:val="003B0DF6"/>
    <w:rsid w:val="003B4296"/>
    <w:rsid w:val="003C06A7"/>
    <w:rsid w:val="003C1E75"/>
    <w:rsid w:val="003E06ED"/>
    <w:rsid w:val="003E4629"/>
    <w:rsid w:val="004013BF"/>
    <w:rsid w:val="00401E4C"/>
    <w:rsid w:val="0042582C"/>
    <w:rsid w:val="00426EB0"/>
    <w:rsid w:val="0043269E"/>
    <w:rsid w:val="00434086"/>
    <w:rsid w:val="004464D2"/>
    <w:rsid w:val="0045199E"/>
    <w:rsid w:val="00462C86"/>
    <w:rsid w:val="00466FFD"/>
    <w:rsid w:val="00470D61"/>
    <w:rsid w:val="004716B8"/>
    <w:rsid w:val="00484B76"/>
    <w:rsid w:val="00490C57"/>
    <w:rsid w:val="00494481"/>
    <w:rsid w:val="004A4063"/>
    <w:rsid w:val="004B04E5"/>
    <w:rsid w:val="004B28C3"/>
    <w:rsid w:val="004B2CEB"/>
    <w:rsid w:val="004B7B96"/>
    <w:rsid w:val="004C49FC"/>
    <w:rsid w:val="004C71A0"/>
    <w:rsid w:val="004D2A72"/>
    <w:rsid w:val="004D6757"/>
    <w:rsid w:val="004E7CF7"/>
    <w:rsid w:val="004F1D85"/>
    <w:rsid w:val="004F5ED1"/>
    <w:rsid w:val="004F6B68"/>
    <w:rsid w:val="00515849"/>
    <w:rsid w:val="00517049"/>
    <w:rsid w:val="00532A0D"/>
    <w:rsid w:val="00543C3E"/>
    <w:rsid w:val="00553331"/>
    <w:rsid w:val="00557CD6"/>
    <w:rsid w:val="00560A99"/>
    <w:rsid w:val="00582960"/>
    <w:rsid w:val="0059005A"/>
    <w:rsid w:val="005964F2"/>
    <w:rsid w:val="005A2F76"/>
    <w:rsid w:val="005A75A1"/>
    <w:rsid w:val="005B0168"/>
    <w:rsid w:val="005B5E99"/>
    <w:rsid w:val="005C0417"/>
    <w:rsid w:val="005C6ABC"/>
    <w:rsid w:val="005D1848"/>
    <w:rsid w:val="005D4E1B"/>
    <w:rsid w:val="005E4DD1"/>
    <w:rsid w:val="005E6BEB"/>
    <w:rsid w:val="006226F9"/>
    <w:rsid w:val="00640792"/>
    <w:rsid w:val="00642BCF"/>
    <w:rsid w:val="006532AF"/>
    <w:rsid w:val="00655950"/>
    <w:rsid w:val="00661BEB"/>
    <w:rsid w:val="0066326A"/>
    <w:rsid w:val="00666FF4"/>
    <w:rsid w:val="00681BEB"/>
    <w:rsid w:val="006910EE"/>
    <w:rsid w:val="006A0FAD"/>
    <w:rsid w:val="006B3179"/>
    <w:rsid w:val="006B5E87"/>
    <w:rsid w:val="006C031C"/>
    <w:rsid w:val="006C131D"/>
    <w:rsid w:val="006C52F6"/>
    <w:rsid w:val="006D5865"/>
    <w:rsid w:val="006D7447"/>
    <w:rsid w:val="006E08AD"/>
    <w:rsid w:val="006F4B23"/>
    <w:rsid w:val="00705A5D"/>
    <w:rsid w:val="00722194"/>
    <w:rsid w:val="00744B92"/>
    <w:rsid w:val="0075322E"/>
    <w:rsid w:val="00757DC0"/>
    <w:rsid w:val="00762227"/>
    <w:rsid w:val="007667B4"/>
    <w:rsid w:val="00770B1C"/>
    <w:rsid w:val="007A420D"/>
    <w:rsid w:val="007B4FFE"/>
    <w:rsid w:val="007B55F5"/>
    <w:rsid w:val="007C1318"/>
    <w:rsid w:val="007C680B"/>
    <w:rsid w:val="007C6AC5"/>
    <w:rsid w:val="007D27C2"/>
    <w:rsid w:val="007F320D"/>
    <w:rsid w:val="007F70D2"/>
    <w:rsid w:val="00802943"/>
    <w:rsid w:val="00806F11"/>
    <w:rsid w:val="0081344D"/>
    <w:rsid w:val="008154D5"/>
    <w:rsid w:val="008267B0"/>
    <w:rsid w:val="00826C6D"/>
    <w:rsid w:val="00830FEC"/>
    <w:rsid w:val="0083612E"/>
    <w:rsid w:val="00842154"/>
    <w:rsid w:val="00847D45"/>
    <w:rsid w:val="00850DB1"/>
    <w:rsid w:val="00854BA8"/>
    <w:rsid w:val="00860CD1"/>
    <w:rsid w:val="0086155E"/>
    <w:rsid w:val="00880268"/>
    <w:rsid w:val="0089017E"/>
    <w:rsid w:val="0089104C"/>
    <w:rsid w:val="00894ABF"/>
    <w:rsid w:val="00897A2F"/>
    <w:rsid w:val="008A111A"/>
    <w:rsid w:val="008A573B"/>
    <w:rsid w:val="008A6895"/>
    <w:rsid w:val="008B7082"/>
    <w:rsid w:val="008C041E"/>
    <w:rsid w:val="008C2429"/>
    <w:rsid w:val="008D4C17"/>
    <w:rsid w:val="008E4934"/>
    <w:rsid w:val="008E7F39"/>
    <w:rsid w:val="008F5E0D"/>
    <w:rsid w:val="008F66B1"/>
    <w:rsid w:val="00921B7B"/>
    <w:rsid w:val="00923B24"/>
    <w:rsid w:val="0092420B"/>
    <w:rsid w:val="00932122"/>
    <w:rsid w:val="009413C0"/>
    <w:rsid w:val="00943E45"/>
    <w:rsid w:val="00955D76"/>
    <w:rsid w:val="009626E1"/>
    <w:rsid w:val="00964F68"/>
    <w:rsid w:val="00965B81"/>
    <w:rsid w:val="00970E57"/>
    <w:rsid w:val="00972842"/>
    <w:rsid w:val="00981B33"/>
    <w:rsid w:val="009936AB"/>
    <w:rsid w:val="00993F46"/>
    <w:rsid w:val="009B4C11"/>
    <w:rsid w:val="009B7860"/>
    <w:rsid w:val="009C565D"/>
    <w:rsid w:val="009D212E"/>
    <w:rsid w:val="009D2D94"/>
    <w:rsid w:val="009D5EDD"/>
    <w:rsid w:val="009F79DC"/>
    <w:rsid w:val="00A03E6B"/>
    <w:rsid w:val="00A067C9"/>
    <w:rsid w:val="00A4256A"/>
    <w:rsid w:val="00A42E74"/>
    <w:rsid w:val="00A53FA8"/>
    <w:rsid w:val="00A56C91"/>
    <w:rsid w:val="00A631E4"/>
    <w:rsid w:val="00A661DF"/>
    <w:rsid w:val="00A71445"/>
    <w:rsid w:val="00A7273F"/>
    <w:rsid w:val="00A73F34"/>
    <w:rsid w:val="00A767BE"/>
    <w:rsid w:val="00A8509D"/>
    <w:rsid w:val="00A908DE"/>
    <w:rsid w:val="00A9701C"/>
    <w:rsid w:val="00A97624"/>
    <w:rsid w:val="00AB116F"/>
    <w:rsid w:val="00AC04F2"/>
    <w:rsid w:val="00AD371C"/>
    <w:rsid w:val="00AE1D83"/>
    <w:rsid w:val="00AE202D"/>
    <w:rsid w:val="00AE266F"/>
    <w:rsid w:val="00AE2B00"/>
    <w:rsid w:val="00AE3882"/>
    <w:rsid w:val="00AE7EE7"/>
    <w:rsid w:val="00B020C1"/>
    <w:rsid w:val="00B05268"/>
    <w:rsid w:val="00B07B21"/>
    <w:rsid w:val="00B24460"/>
    <w:rsid w:val="00B30337"/>
    <w:rsid w:val="00B32F57"/>
    <w:rsid w:val="00B51EED"/>
    <w:rsid w:val="00B525A3"/>
    <w:rsid w:val="00B575F2"/>
    <w:rsid w:val="00B64190"/>
    <w:rsid w:val="00B86E90"/>
    <w:rsid w:val="00B9479B"/>
    <w:rsid w:val="00B9579D"/>
    <w:rsid w:val="00BA37AF"/>
    <w:rsid w:val="00BA6C37"/>
    <w:rsid w:val="00BA74B5"/>
    <w:rsid w:val="00BB06AC"/>
    <w:rsid w:val="00BB085B"/>
    <w:rsid w:val="00BB2C1D"/>
    <w:rsid w:val="00BB44AB"/>
    <w:rsid w:val="00BB4E75"/>
    <w:rsid w:val="00BE23D7"/>
    <w:rsid w:val="00BE4FB9"/>
    <w:rsid w:val="00BE629A"/>
    <w:rsid w:val="00BF323E"/>
    <w:rsid w:val="00BF6EA0"/>
    <w:rsid w:val="00BF7486"/>
    <w:rsid w:val="00C07381"/>
    <w:rsid w:val="00C130CB"/>
    <w:rsid w:val="00C13FA0"/>
    <w:rsid w:val="00C1519E"/>
    <w:rsid w:val="00C23034"/>
    <w:rsid w:val="00C2682F"/>
    <w:rsid w:val="00C31754"/>
    <w:rsid w:val="00C456AB"/>
    <w:rsid w:val="00C60E4C"/>
    <w:rsid w:val="00C641C2"/>
    <w:rsid w:val="00C73521"/>
    <w:rsid w:val="00C76124"/>
    <w:rsid w:val="00C82BF8"/>
    <w:rsid w:val="00CA070A"/>
    <w:rsid w:val="00CA43B7"/>
    <w:rsid w:val="00CB0906"/>
    <w:rsid w:val="00CC36ED"/>
    <w:rsid w:val="00CC4480"/>
    <w:rsid w:val="00CC727A"/>
    <w:rsid w:val="00CD72E8"/>
    <w:rsid w:val="00CE66BD"/>
    <w:rsid w:val="00CF0161"/>
    <w:rsid w:val="00CF1410"/>
    <w:rsid w:val="00CF2EFA"/>
    <w:rsid w:val="00CF32CC"/>
    <w:rsid w:val="00CF58E9"/>
    <w:rsid w:val="00D04230"/>
    <w:rsid w:val="00D10FE4"/>
    <w:rsid w:val="00D22475"/>
    <w:rsid w:val="00D3147B"/>
    <w:rsid w:val="00D354D9"/>
    <w:rsid w:val="00D41530"/>
    <w:rsid w:val="00D52739"/>
    <w:rsid w:val="00D62028"/>
    <w:rsid w:val="00D64FBD"/>
    <w:rsid w:val="00D66681"/>
    <w:rsid w:val="00D7477B"/>
    <w:rsid w:val="00D74835"/>
    <w:rsid w:val="00D86206"/>
    <w:rsid w:val="00D86AA6"/>
    <w:rsid w:val="00D95EF7"/>
    <w:rsid w:val="00DA1B46"/>
    <w:rsid w:val="00DA564E"/>
    <w:rsid w:val="00DA7EF9"/>
    <w:rsid w:val="00DC1339"/>
    <w:rsid w:val="00DC1B0D"/>
    <w:rsid w:val="00DC4200"/>
    <w:rsid w:val="00DC5AEB"/>
    <w:rsid w:val="00DC639C"/>
    <w:rsid w:val="00DD54F3"/>
    <w:rsid w:val="00DD67CA"/>
    <w:rsid w:val="00DE11CD"/>
    <w:rsid w:val="00E1024C"/>
    <w:rsid w:val="00E22CB0"/>
    <w:rsid w:val="00E26E96"/>
    <w:rsid w:val="00E345A2"/>
    <w:rsid w:val="00E362E8"/>
    <w:rsid w:val="00E44C22"/>
    <w:rsid w:val="00E45F05"/>
    <w:rsid w:val="00E52E91"/>
    <w:rsid w:val="00E65C4A"/>
    <w:rsid w:val="00E675B8"/>
    <w:rsid w:val="00E71A5D"/>
    <w:rsid w:val="00E978D3"/>
    <w:rsid w:val="00EC0934"/>
    <w:rsid w:val="00EC3B41"/>
    <w:rsid w:val="00EE1877"/>
    <w:rsid w:val="00F02C2B"/>
    <w:rsid w:val="00F03C29"/>
    <w:rsid w:val="00F1531F"/>
    <w:rsid w:val="00F15F54"/>
    <w:rsid w:val="00F231BB"/>
    <w:rsid w:val="00F26844"/>
    <w:rsid w:val="00F35421"/>
    <w:rsid w:val="00F533EF"/>
    <w:rsid w:val="00F55054"/>
    <w:rsid w:val="00F60F5F"/>
    <w:rsid w:val="00F63019"/>
    <w:rsid w:val="00F64F46"/>
    <w:rsid w:val="00F72E29"/>
    <w:rsid w:val="00F76528"/>
    <w:rsid w:val="00F87E39"/>
    <w:rsid w:val="00FA2B81"/>
    <w:rsid w:val="00FA714C"/>
    <w:rsid w:val="00FB502C"/>
    <w:rsid w:val="00FD48F5"/>
    <w:rsid w:val="00FE6FCB"/>
    <w:rsid w:val="091B56F4"/>
    <w:rsid w:val="1D555501"/>
    <w:rsid w:val="2E1727CB"/>
    <w:rsid w:val="32E1EA58"/>
    <w:rsid w:val="37A8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8AB32"/>
  <w15:docId w15:val="{6D640616-3C36-49AD-83CE-9DDBC744F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3D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3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leNormal"/>
    <w:uiPriority w:val="41"/>
    <w:rsid w:val="000D3DC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0D3DC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21">
    <w:name w:val="Grid Table 21"/>
    <w:basedOn w:val="TableNormal"/>
    <w:uiPriority w:val="47"/>
    <w:rsid w:val="000D3DC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0D3DC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0D3DC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2A48C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48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0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24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7273F"/>
    <w:pPr>
      <w:ind w:left="720"/>
      <w:contextualSpacing/>
    </w:pPr>
  </w:style>
  <w:style w:type="table" w:styleId="ListTable6Colorful-Accent5">
    <w:name w:val="List Table 6 Colorful Accent 5"/>
    <w:basedOn w:val="TableNormal"/>
    <w:uiPriority w:val="51"/>
    <w:rsid w:val="00FE6FCB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NormalWeb">
    <w:name w:val="Normal (Web)"/>
    <w:basedOn w:val="Normal"/>
    <w:uiPriority w:val="99"/>
    <w:unhideWhenUsed/>
    <w:rsid w:val="00A42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42E74"/>
  </w:style>
  <w:style w:type="character" w:styleId="Strong">
    <w:name w:val="Strong"/>
    <w:basedOn w:val="DefaultParagraphFont"/>
    <w:uiPriority w:val="22"/>
    <w:qFormat/>
    <w:rsid w:val="00A42E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Where Our Youth Live</a:t>
            </a:r>
          </a:p>
          <a:p>
            <a:pPr>
              <a:defRPr/>
            </a:pPr>
            <a:r>
              <a:rPr lang="en-US"/>
              <a:t>Total - 119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v>County</c:v>
          </c:tx>
          <c:spPr>
            <a:solidFill>
              <a:schemeClr val="accent1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dLbl>
              <c:idx val="7"/>
              <c:layout/>
              <c:tx>
                <c:rich>
                  <a:bodyPr/>
                  <a:lstStyle/>
                  <a:p>
                    <a:r>
                      <a:rPr lang="en-US"/>
                      <a:t>27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E12C-284F-AE4C-9C6F3027AF1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Sheet1!$A$2:$A$9</c:f>
              <c:strCache>
                <c:ptCount val="8"/>
                <c:pt idx="0">
                  <c:v>Pendleton</c:v>
                </c:pt>
                <c:pt idx="1">
                  <c:v>Morgan</c:v>
                </c:pt>
                <c:pt idx="2">
                  <c:v>Mineral</c:v>
                </c:pt>
                <c:pt idx="3">
                  <c:v>Jefferson</c:v>
                </c:pt>
                <c:pt idx="4">
                  <c:v>Hardy</c:v>
                </c:pt>
                <c:pt idx="5">
                  <c:v>Hampshire</c:v>
                </c:pt>
                <c:pt idx="6">
                  <c:v>Grant</c:v>
                </c:pt>
                <c:pt idx="7">
                  <c:v>Berkeley</c:v>
                </c:pt>
              </c:strCache>
            </c:strRef>
          </c:cat>
          <c:val>
            <c:numRef>
              <c:f>Sheet1!$B$2:$B$9</c:f>
              <c:numCache>
                <c:formatCode>General</c:formatCode>
                <c:ptCount val="8"/>
                <c:pt idx="0">
                  <c:v>4</c:v>
                </c:pt>
                <c:pt idx="1">
                  <c:v>10</c:v>
                </c:pt>
                <c:pt idx="2">
                  <c:v>15</c:v>
                </c:pt>
                <c:pt idx="3">
                  <c:v>32</c:v>
                </c:pt>
                <c:pt idx="4">
                  <c:v>11</c:v>
                </c:pt>
                <c:pt idx="5">
                  <c:v>10</c:v>
                </c:pt>
                <c:pt idx="6">
                  <c:v>10</c:v>
                </c:pt>
                <c:pt idx="7">
                  <c:v>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782-4FA0-BA81-689A3A3A2C6A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138444607"/>
        <c:axId val="286217391"/>
      </c:barChart>
      <c:catAx>
        <c:axId val="13844460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86217391"/>
        <c:crosses val="autoZero"/>
        <c:auto val="1"/>
        <c:lblAlgn val="ctr"/>
        <c:lblOffset val="100"/>
        <c:noMultiLvlLbl val="0"/>
      </c:catAx>
      <c:valAx>
        <c:axId val="286217391"/>
        <c:scaling>
          <c:orientation val="minMax"/>
        </c:scaling>
        <c:delete val="0"/>
        <c:axPos val="b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8444607"/>
        <c:crosses val="autoZero"/>
        <c:crossBetween val="between"/>
      </c:valAx>
      <c:dTable>
        <c:showHorzBorder val="1"/>
        <c:showVertBorder val="1"/>
        <c:showOutline val="1"/>
        <c:showKeys val="0"/>
        <c:spPr>
          <a:noFill/>
          <a:ln w="9525">
            <a:solidFill>
              <a:schemeClr val="dk1">
                <a:lumMod val="35000"/>
                <a:lumOff val="6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34DA1-1B77-4263-84C9-86B738A42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</dc:creator>
  <cp:keywords/>
  <dc:description/>
  <cp:lastModifiedBy>TJ</cp:lastModifiedBy>
  <cp:revision>2</cp:revision>
  <cp:lastPrinted>2021-11-10T22:39:00Z</cp:lastPrinted>
  <dcterms:created xsi:type="dcterms:W3CDTF">2026-02-03T18:22:00Z</dcterms:created>
  <dcterms:modified xsi:type="dcterms:W3CDTF">2026-02-03T18:22:00Z</dcterms:modified>
</cp:coreProperties>
</file>